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AFA77D" w14:textId="77777777" w:rsidR="006611A2" w:rsidRPr="00BD63B0" w:rsidRDefault="006611A2" w:rsidP="006611A2">
      <w:pPr>
        <w:widowControl/>
        <w:tabs>
          <w:tab w:val="left" w:pos="0"/>
          <w:tab w:val="left" w:pos="851"/>
        </w:tabs>
        <w:jc w:val="center"/>
        <w:rPr>
          <w:szCs w:val="19"/>
        </w:rPr>
      </w:pPr>
      <w:r w:rsidRPr="00BD63B0">
        <w:rPr>
          <w:szCs w:val="19"/>
        </w:rPr>
        <w:t>Příloha č. 7</w:t>
      </w:r>
    </w:p>
    <w:p w14:paraId="28B96AE3" w14:textId="77777777" w:rsidR="006611A2" w:rsidRPr="00BD63B0" w:rsidRDefault="006611A2" w:rsidP="006611A2">
      <w:pPr>
        <w:tabs>
          <w:tab w:val="left" w:pos="0"/>
          <w:tab w:val="left" w:pos="851"/>
        </w:tabs>
        <w:jc w:val="center"/>
        <w:rPr>
          <w:rFonts w:cs="Arial"/>
          <w:b/>
          <w:szCs w:val="19"/>
        </w:rPr>
      </w:pPr>
    </w:p>
    <w:p w14:paraId="6C463F55" w14:textId="77777777" w:rsidR="006611A2" w:rsidRPr="00BD63B0" w:rsidRDefault="006611A2" w:rsidP="006611A2">
      <w:pPr>
        <w:tabs>
          <w:tab w:val="left" w:pos="0"/>
          <w:tab w:val="left" w:pos="851"/>
        </w:tabs>
        <w:jc w:val="center"/>
        <w:rPr>
          <w:rFonts w:cs="Arial"/>
          <w:b/>
          <w:szCs w:val="19"/>
        </w:rPr>
      </w:pPr>
      <w:r w:rsidRPr="00BD63B0">
        <w:rPr>
          <w:rFonts w:cs="Arial"/>
          <w:b/>
          <w:szCs w:val="19"/>
        </w:rPr>
        <w:t>Služba a Média a Poplatky za Službu a náklady na Média</w:t>
      </w:r>
    </w:p>
    <w:p w14:paraId="5DF89AE9" w14:textId="77777777" w:rsidR="006611A2" w:rsidRPr="00BD63B0" w:rsidRDefault="006611A2" w:rsidP="006611A2">
      <w:pPr>
        <w:tabs>
          <w:tab w:val="left" w:pos="0"/>
          <w:tab w:val="left" w:pos="851"/>
        </w:tabs>
        <w:rPr>
          <w:rFonts w:cs="Arial"/>
          <w:szCs w:val="19"/>
        </w:rPr>
      </w:pPr>
    </w:p>
    <w:p w14:paraId="255BC060" w14:textId="77777777" w:rsidR="006611A2" w:rsidRPr="00BD63B0" w:rsidRDefault="006611A2" w:rsidP="006611A2">
      <w:pPr>
        <w:tabs>
          <w:tab w:val="left" w:pos="0"/>
          <w:tab w:val="left" w:pos="851"/>
        </w:tabs>
        <w:rPr>
          <w:rFonts w:cs="Arial"/>
          <w:szCs w:val="19"/>
        </w:rPr>
      </w:pPr>
    </w:p>
    <w:p w14:paraId="4BEFF3A6" w14:textId="77777777" w:rsidR="006611A2" w:rsidRPr="00BD63B0" w:rsidRDefault="006611A2" w:rsidP="006611A2">
      <w:pPr>
        <w:tabs>
          <w:tab w:val="left" w:pos="0"/>
          <w:tab w:val="left" w:pos="851"/>
        </w:tabs>
        <w:rPr>
          <w:rFonts w:cs="Arial"/>
          <w:szCs w:val="19"/>
          <w:u w:val="single"/>
        </w:rPr>
      </w:pPr>
      <w:r w:rsidRPr="00BD63B0">
        <w:rPr>
          <w:rFonts w:cs="Arial"/>
          <w:szCs w:val="19"/>
          <w:u w:val="single"/>
        </w:rPr>
        <w:t>Služba a Poplatky za Službu</w:t>
      </w:r>
    </w:p>
    <w:p w14:paraId="4F62F9CD" w14:textId="77777777" w:rsidR="006611A2" w:rsidRPr="00BD63B0" w:rsidRDefault="006611A2" w:rsidP="006611A2">
      <w:pPr>
        <w:tabs>
          <w:tab w:val="left" w:pos="0"/>
          <w:tab w:val="left" w:pos="851"/>
        </w:tabs>
        <w:rPr>
          <w:rFonts w:cs="Arial"/>
          <w:szCs w:val="19"/>
        </w:rPr>
      </w:pPr>
    </w:p>
    <w:p w14:paraId="231606CA" w14:textId="134FACA3" w:rsidR="006611A2" w:rsidRPr="00BD63B0" w:rsidRDefault="006611A2" w:rsidP="006611A2">
      <w:pPr>
        <w:tabs>
          <w:tab w:val="left" w:pos="0"/>
          <w:tab w:val="left" w:pos="851"/>
        </w:tabs>
        <w:rPr>
          <w:rFonts w:cs="Arial"/>
          <w:szCs w:val="19"/>
        </w:rPr>
      </w:pPr>
      <w:r w:rsidRPr="00BD63B0">
        <w:rPr>
          <w:rFonts w:cs="Arial"/>
          <w:szCs w:val="19"/>
        </w:rPr>
        <w:t>Pro účely Smlouvy Služba znamená celkovou podpůrnou službu poskytovanou pro</w:t>
      </w:r>
      <w:r w:rsidR="005E3911">
        <w:rPr>
          <w:rFonts w:cs="Arial"/>
          <w:szCs w:val="19"/>
        </w:rPr>
        <w:t xml:space="preserve"> část Kanceláří Dornych v Budově („</w:t>
      </w:r>
      <w:r w:rsidR="005E3911" w:rsidRPr="005E3911">
        <w:rPr>
          <w:rFonts w:cs="Arial"/>
          <w:b/>
          <w:szCs w:val="19"/>
        </w:rPr>
        <w:t>Kancelářská část Budovy</w:t>
      </w:r>
      <w:r w:rsidR="005E3911">
        <w:rPr>
          <w:rFonts w:cs="Arial"/>
          <w:szCs w:val="19"/>
        </w:rPr>
        <w:t>“)</w:t>
      </w:r>
      <w:r w:rsidRPr="00BD63B0">
        <w:rPr>
          <w:rFonts w:cs="Arial"/>
          <w:szCs w:val="19"/>
        </w:rPr>
        <w:t>, pro účely je</w:t>
      </w:r>
      <w:r w:rsidR="00E525F8">
        <w:rPr>
          <w:rFonts w:cs="Arial"/>
          <w:szCs w:val="19"/>
        </w:rPr>
        <w:t>jí</w:t>
      </w:r>
      <w:r w:rsidRPr="00BD63B0">
        <w:rPr>
          <w:rFonts w:cs="Arial"/>
          <w:szCs w:val="19"/>
        </w:rPr>
        <w:t>ho užívání nebo v souvislosti s je</w:t>
      </w:r>
      <w:r w:rsidR="00E525F8">
        <w:rPr>
          <w:rFonts w:cs="Arial"/>
          <w:szCs w:val="19"/>
        </w:rPr>
        <w:t>jím</w:t>
      </w:r>
      <w:r w:rsidRPr="00BD63B0">
        <w:rPr>
          <w:rFonts w:cs="Arial"/>
          <w:szCs w:val="19"/>
        </w:rPr>
        <w:t xml:space="preserve"> užíváním Pronajímatelem a nájemci, jejich zaměstnanci, zástupci, dodavateli a veřejností, sestávající se pro účely výpočtu Poplatků za Službu z jednotlivých kalkulačních položek, včetně, bez omezení, následujících:</w:t>
      </w:r>
    </w:p>
    <w:p w14:paraId="1F0F3AA4" w14:textId="77777777" w:rsidR="006611A2" w:rsidRPr="00BD63B0" w:rsidRDefault="006611A2" w:rsidP="006611A2">
      <w:pPr>
        <w:tabs>
          <w:tab w:val="left" w:pos="0"/>
          <w:tab w:val="left" w:pos="851"/>
        </w:tabs>
        <w:rPr>
          <w:rFonts w:cs="Arial"/>
          <w:szCs w:val="19"/>
        </w:rPr>
      </w:pPr>
    </w:p>
    <w:p w14:paraId="26497574" w14:textId="27F5D54E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 xml:space="preserve">média dodávaná pro </w:t>
      </w:r>
      <w:r w:rsidR="005E3911">
        <w:rPr>
          <w:rFonts w:cs="Arial"/>
          <w:szCs w:val="19"/>
        </w:rPr>
        <w:t>Kancelářskou část Budovy</w:t>
      </w:r>
      <w:r w:rsidRPr="00BD63B0">
        <w:rPr>
          <w:rFonts w:cs="Arial"/>
          <w:szCs w:val="19"/>
        </w:rPr>
        <w:t>, s výjimkou médií (resp. jejich částí), které jsou zahrnuty do Médií, jak je popsáno níže;</w:t>
      </w:r>
    </w:p>
    <w:p w14:paraId="6B2BAEBE" w14:textId="5F4B35DC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 xml:space="preserve">celková kontrola, údržba, úklid, opravy, obnova a výměna jakékoliv a všech součástí </w:t>
      </w:r>
      <w:r w:rsidR="005E3911" w:rsidRPr="00A07DCC">
        <w:rPr>
          <w:rFonts w:cs="Arial"/>
          <w:szCs w:val="19"/>
        </w:rPr>
        <w:t>Budovy</w:t>
      </w:r>
      <w:r w:rsidRPr="00BD63B0">
        <w:rPr>
          <w:rFonts w:cs="Arial"/>
          <w:szCs w:val="19"/>
        </w:rPr>
        <w:t>;</w:t>
      </w:r>
    </w:p>
    <w:p w14:paraId="05DB936E" w14:textId="06918C89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 xml:space="preserve">zařízení, vybavení, údržba a úklid Společných prostor </w:t>
      </w:r>
      <w:r w:rsidR="005E3911">
        <w:rPr>
          <w:rFonts w:cs="Arial"/>
          <w:szCs w:val="19"/>
        </w:rPr>
        <w:t>Kancelářské části Budovy</w:t>
      </w:r>
      <w:r w:rsidRPr="00BD63B0">
        <w:rPr>
          <w:rFonts w:cs="Arial"/>
          <w:szCs w:val="19"/>
        </w:rPr>
        <w:t>;</w:t>
      </w:r>
    </w:p>
    <w:p w14:paraId="53B3A5B9" w14:textId="0AFE7DAB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 xml:space="preserve">údržba řádné funkčnosti zdí a dalších konstrukčních částí a příček a dalších nekonstrukčních částí </w:t>
      </w:r>
      <w:r w:rsidR="005E3911">
        <w:rPr>
          <w:rFonts w:cs="Arial"/>
          <w:szCs w:val="19"/>
        </w:rPr>
        <w:t>Budovy</w:t>
      </w:r>
      <w:r w:rsidRPr="00BD63B0">
        <w:rPr>
          <w:rFonts w:cs="Arial"/>
          <w:szCs w:val="19"/>
        </w:rPr>
        <w:t>;</w:t>
      </w:r>
    </w:p>
    <w:p w14:paraId="2DE97DFA" w14:textId="3345EC64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 xml:space="preserve">údržba, oprava, výměna a obnova technického vybavení </w:t>
      </w:r>
      <w:r w:rsidR="005E3911">
        <w:rPr>
          <w:rFonts w:cs="Arial"/>
          <w:szCs w:val="19"/>
        </w:rPr>
        <w:t>Kancelářské části Budovy;</w:t>
      </w:r>
    </w:p>
    <w:p w14:paraId="7192BC81" w14:textId="0A06A985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 xml:space="preserve">údržba společné počítačové sítě </w:t>
      </w:r>
      <w:r w:rsidR="005E3911">
        <w:rPr>
          <w:rFonts w:cs="Arial"/>
          <w:szCs w:val="19"/>
        </w:rPr>
        <w:t>Kancelářské části Budovy</w:t>
      </w:r>
      <w:r w:rsidRPr="00BD63B0">
        <w:rPr>
          <w:rFonts w:cs="Arial"/>
          <w:szCs w:val="19"/>
        </w:rPr>
        <w:t>;</w:t>
      </w:r>
    </w:p>
    <w:p w14:paraId="25569527" w14:textId="6AC15450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>údržba, oprava a výměna kanalizačního vedení, potrubí, postřikovačů, kabelů a všech dalších instalací, které jsou součástí rozvodného systému médií v </w:t>
      </w:r>
      <w:r w:rsidR="005E3911">
        <w:rPr>
          <w:rFonts w:cs="Arial"/>
          <w:szCs w:val="19"/>
        </w:rPr>
        <w:t>Kancelářské části Budovy</w:t>
      </w:r>
      <w:r w:rsidRPr="00BD63B0">
        <w:rPr>
          <w:rFonts w:cs="Arial"/>
          <w:szCs w:val="19"/>
        </w:rPr>
        <w:t>;</w:t>
      </w:r>
    </w:p>
    <w:p w14:paraId="05A4CF6A" w14:textId="6062AC91" w:rsidR="006611A2" w:rsidRPr="006C28C1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6C28C1">
        <w:rPr>
          <w:rFonts w:cs="Arial"/>
          <w:szCs w:val="19"/>
        </w:rPr>
        <w:t xml:space="preserve">údržba požární signalizace a systému detekce požáru v </w:t>
      </w:r>
      <w:r w:rsidR="005E3911" w:rsidRPr="006C28C1">
        <w:rPr>
          <w:rFonts w:cs="Arial"/>
          <w:szCs w:val="19"/>
        </w:rPr>
        <w:t>Kancelářské části Budovy</w:t>
      </w:r>
      <w:r w:rsidRPr="006C28C1">
        <w:rPr>
          <w:rFonts w:cs="Arial"/>
          <w:szCs w:val="19"/>
        </w:rPr>
        <w:t>, včetně všech hasičských zásahů;</w:t>
      </w:r>
    </w:p>
    <w:p w14:paraId="1EB5CB9C" w14:textId="72CCED3E" w:rsidR="006611A2" w:rsidRPr="006C28C1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6C28C1">
        <w:rPr>
          <w:rFonts w:cs="Arial"/>
          <w:szCs w:val="19"/>
        </w:rPr>
        <w:t>mytí, oprava a údržba oken v </w:t>
      </w:r>
      <w:r w:rsidR="005E3911" w:rsidRPr="006C28C1">
        <w:rPr>
          <w:rFonts w:cs="Arial"/>
          <w:szCs w:val="19"/>
        </w:rPr>
        <w:t>Kancelářské části Budovy</w:t>
      </w:r>
      <w:r w:rsidRPr="006C28C1">
        <w:rPr>
          <w:rFonts w:cs="Arial"/>
          <w:szCs w:val="19"/>
        </w:rPr>
        <w:t>;</w:t>
      </w:r>
    </w:p>
    <w:p w14:paraId="3F50D8B1" w14:textId="76F0135E" w:rsidR="006611A2" w:rsidRPr="006C28C1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6C28C1">
        <w:rPr>
          <w:rFonts w:cs="Arial"/>
          <w:szCs w:val="19"/>
        </w:rPr>
        <w:t xml:space="preserve">údržba a oprava a odstraňování sněhu z příjezdových komunikací, chodníků a parkovacích prostor u </w:t>
      </w:r>
      <w:r w:rsidR="005E3911" w:rsidRPr="006C28C1">
        <w:rPr>
          <w:rFonts w:cs="Arial"/>
          <w:szCs w:val="19"/>
        </w:rPr>
        <w:t xml:space="preserve">Budovy </w:t>
      </w:r>
      <w:r w:rsidRPr="006C28C1">
        <w:rPr>
          <w:rFonts w:cs="Arial"/>
          <w:szCs w:val="19"/>
        </w:rPr>
        <w:t xml:space="preserve">a kolem </w:t>
      </w:r>
      <w:r w:rsidR="005E3911" w:rsidRPr="006C28C1">
        <w:rPr>
          <w:rFonts w:cs="Arial"/>
          <w:szCs w:val="19"/>
        </w:rPr>
        <w:t>Budovy</w:t>
      </w:r>
      <w:r w:rsidRPr="006C28C1">
        <w:rPr>
          <w:rFonts w:cs="Arial"/>
          <w:szCs w:val="19"/>
        </w:rPr>
        <w:t>, včetně údržby, opravy a obnovy dopravního značení;</w:t>
      </w:r>
    </w:p>
    <w:p w14:paraId="1B95E0E9" w14:textId="77777777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Verdana"/>
          <w:szCs w:val="19"/>
        </w:rPr>
        <w:t>provozování, údržba a opravy venkovních ploch (včetně zeleně), venkovního osvětlení a vodních prvků;</w:t>
      </w:r>
    </w:p>
    <w:p w14:paraId="5FE1FF9E" w14:textId="7323F2B5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 xml:space="preserve">zajišťování odvozu </w:t>
      </w:r>
      <w:r w:rsidRPr="006C28C1">
        <w:rPr>
          <w:rFonts w:cs="Arial"/>
          <w:szCs w:val="19"/>
        </w:rPr>
        <w:t>odpadu z </w:t>
      </w:r>
      <w:r w:rsidR="00FB67F4" w:rsidRPr="006C28C1">
        <w:rPr>
          <w:rFonts w:cs="Arial"/>
          <w:szCs w:val="19"/>
        </w:rPr>
        <w:t>Kancelářské části Budovy</w:t>
      </w:r>
      <w:r w:rsidRPr="006C28C1">
        <w:rPr>
          <w:rFonts w:cs="Arial"/>
          <w:szCs w:val="19"/>
        </w:rPr>
        <w:t xml:space="preserve">, včetně umístění a pravidelného vyprazdňování popelnic a odpadkových košů ve Společných prostorách </w:t>
      </w:r>
      <w:r w:rsidR="005E3911" w:rsidRPr="006C28C1">
        <w:rPr>
          <w:rFonts w:cs="Arial"/>
          <w:szCs w:val="19"/>
        </w:rPr>
        <w:t xml:space="preserve">Kancelářské části Budovy </w:t>
      </w:r>
      <w:r w:rsidRPr="006C28C1">
        <w:rPr>
          <w:rFonts w:cs="Arial"/>
          <w:szCs w:val="19"/>
        </w:rPr>
        <w:t xml:space="preserve">a v okolí </w:t>
      </w:r>
      <w:r w:rsidR="005E3911" w:rsidRPr="006C28C1">
        <w:rPr>
          <w:rFonts w:cs="Arial"/>
          <w:szCs w:val="19"/>
        </w:rPr>
        <w:t>Budovy</w:t>
      </w:r>
      <w:r w:rsidRPr="006C28C1">
        <w:rPr>
          <w:rFonts w:cs="Arial"/>
          <w:szCs w:val="19"/>
        </w:rPr>
        <w:t>;</w:t>
      </w:r>
    </w:p>
    <w:p w14:paraId="7C183A58" w14:textId="663C5C52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>výstavba, údržba, oprava a obnova různého vybavení v </w:t>
      </w:r>
      <w:r w:rsidR="005E3911">
        <w:rPr>
          <w:rFonts w:cs="Arial"/>
          <w:szCs w:val="19"/>
        </w:rPr>
        <w:t>Kancelářské části Budovy</w:t>
      </w:r>
      <w:r w:rsidR="005E3911" w:rsidRPr="00BD63B0">
        <w:rPr>
          <w:rFonts w:cs="Arial"/>
          <w:szCs w:val="19"/>
        </w:rPr>
        <w:t xml:space="preserve"> </w:t>
      </w:r>
      <w:r w:rsidRPr="00BD63B0">
        <w:rPr>
          <w:rFonts w:cs="Arial"/>
          <w:szCs w:val="19"/>
        </w:rPr>
        <w:t>určeného pro užívání nájemci a návštěvníky a zaměstnanci nájemců a Pronajímatele;</w:t>
      </w:r>
    </w:p>
    <w:p w14:paraId="48833C07" w14:textId="2991F099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>zajištění, údržba a obnova orientačního značení, informačních tabulek a dalších oznámení v </w:t>
      </w:r>
      <w:r w:rsidR="005E3911">
        <w:rPr>
          <w:rFonts w:cs="Arial"/>
          <w:szCs w:val="19"/>
        </w:rPr>
        <w:t>Kancelářské části Budovy</w:t>
      </w:r>
      <w:r w:rsidRPr="00BD63B0">
        <w:rPr>
          <w:rFonts w:cs="Arial"/>
          <w:szCs w:val="19"/>
        </w:rPr>
        <w:t>;</w:t>
      </w:r>
    </w:p>
    <w:p w14:paraId="6DA2AE55" w14:textId="77777777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>výzdoba a aranžování rostlin a květin, včetně péče o ně;</w:t>
      </w:r>
    </w:p>
    <w:p w14:paraId="1506F243" w14:textId="37E4A1FC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>služby bezpečnostního dozoru a dohledu a zabezpečovací systém v </w:t>
      </w:r>
      <w:r w:rsidR="005E3911">
        <w:rPr>
          <w:rFonts w:cs="Arial"/>
          <w:szCs w:val="19"/>
        </w:rPr>
        <w:t>Kancelářské části Budovy</w:t>
      </w:r>
      <w:r w:rsidRPr="00BD63B0">
        <w:rPr>
          <w:rFonts w:cs="Arial"/>
          <w:szCs w:val="19"/>
        </w:rPr>
        <w:t>;</w:t>
      </w:r>
    </w:p>
    <w:p w14:paraId="46889FB9" w14:textId="4C62B72E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>zásahy policie nebo obdobných orgánů z důvodu událostí vzniklých v </w:t>
      </w:r>
      <w:r w:rsidR="005E3911">
        <w:rPr>
          <w:rFonts w:cs="Arial"/>
          <w:szCs w:val="19"/>
        </w:rPr>
        <w:t>Kancelářské části Budovy</w:t>
      </w:r>
      <w:r w:rsidRPr="00BD63B0">
        <w:rPr>
          <w:rFonts w:cs="Arial"/>
          <w:szCs w:val="19"/>
        </w:rPr>
        <w:t>;</w:t>
      </w:r>
    </w:p>
    <w:p w14:paraId="02645C92" w14:textId="77777777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>zaměstnání pracovníků nebo najmutí externích dodavatelů Pronajímatelem pro poskytování Služby;</w:t>
      </w:r>
    </w:p>
    <w:p w14:paraId="5F3FF0C7" w14:textId="42D10B63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 xml:space="preserve">management a správa </w:t>
      </w:r>
      <w:r w:rsidR="005E3911">
        <w:rPr>
          <w:rFonts w:cs="Arial"/>
          <w:szCs w:val="19"/>
        </w:rPr>
        <w:t>Kancelářské části Budovy</w:t>
      </w:r>
      <w:r w:rsidRPr="00BD63B0">
        <w:rPr>
          <w:rFonts w:cs="Arial"/>
          <w:szCs w:val="19"/>
        </w:rPr>
        <w:t>;</w:t>
      </w:r>
    </w:p>
    <w:p w14:paraId="3304F4C9" w14:textId="0FD124E3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 xml:space="preserve">zaměstnávání pracovníků nebo najmutí externích dodavatelů Pronajímatelem pro účely managementu a správy </w:t>
      </w:r>
      <w:r w:rsidR="005E3911">
        <w:rPr>
          <w:rFonts w:cs="Arial"/>
          <w:szCs w:val="19"/>
        </w:rPr>
        <w:t>Kancelářské části Budovy</w:t>
      </w:r>
      <w:r w:rsidRPr="00BD63B0">
        <w:rPr>
          <w:rFonts w:cs="Arial"/>
          <w:szCs w:val="19"/>
        </w:rPr>
        <w:t>, včetně služeb poskytovaných externími konzultanty, jako jsou právní služby, účetnictví atd.;</w:t>
      </w:r>
    </w:p>
    <w:p w14:paraId="602FA27A" w14:textId="77777777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>vybavení potřebné pro řádné poskytování Služby;</w:t>
      </w:r>
    </w:p>
    <w:p w14:paraId="1E790BE6" w14:textId="77777777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>další činnosti, které potřebuje Pronajímatel zajistit v souvislosti s užíváním prostor nájemci, jako jsou odečty měřidel;</w:t>
      </w:r>
    </w:p>
    <w:p w14:paraId="24CA2769" w14:textId="1AE4989F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 xml:space="preserve">jakékoliv další služby, které nejsou výše uvedeny, které mohou být potřebné nebo prospěšné pro řádný provoz </w:t>
      </w:r>
      <w:r w:rsidR="004A68DD">
        <w:rPr>
          <w:rFonts w:cs="Arial"/>
          <w:szCs w:val="19"/>
        </w:rPr>
        <w:t>Kancelářské části Budovy</w:t>
      </w:r>
      <w:r w:rsidRPr="00BD63B0">
        <w:rPr>
          <w:rFonts w:cs="Arial"/>
          <w:szCs w:val="19"/>
        </w:rPr>
        <w:t>, jako například dětský koutek, kyvadlové autobusy a jiná doprava, atd.;</w:t>
      </w:r>
    </w:p>
    <w:p w14:paraId="7A56AB1A" w14:textId="30D86DA3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 xml:space="preserve">platba poplatků, daní, pojištění a dalších nákladů v souvislosti s existencí a provozem </w:t>
      </w:r>
      <w:r w:rsidR="004A68DD">
        <w:rPr>
          <w:rFonts w:cs="Arial"/>
          <w:szCs w:val="19"/>
        </w:rPr>
        <w:t>Kancelářské části Budovy</w:t>
      </w:r>
      <w:r w:rsidRPr="00BD63B0">
        <w:rPr>
          <w:rFonts w:cs="Arial"/>
          <w:szCs w:val="19"/>
        </w:rPr>
        <w:t>;</w:t>
      </w:r>
    </w:p>
    <w:p w14:paraId="69EEFAFB" w14:textId="74C9F7E4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lastRenderedPageBreak/>
        <w:t xml:space="preserve">právní nebo správní postupy související s provozem </w:t>
      </w:r>
      <w:r w:rsidR="004A68DD">
        <w:rPr>
          <w:rFonts w:cs="Arial"/>
          <w:szCs w:val="19"/>
        </w:rPr>
        <w:t>Kancelářské části Budovy</w:t>
      </w:r>
      <w:r w:rsidR="004A68DD" w:rsidRPr="00BD63B0">
        <w:rPr>
          <w:rFonts w:cs="Arial"/>
          <w:szCs w:val="19"/>
        </w:rPr>
        <w:t xml:space="preserve"> </w:t>
      </w:r>
      <w:r w:rsidRPr="00BD63B0">
        <w:rPr>
          <w:rFonts w:cs="Arial"/>
          <w:szCs w:val="19"/>
        </w:rPr>
        <w:t>nebo je</w:t>
      </w:r>
      <w:r w:rsidR="00E525F8">
        <w:rPr>
          <w:rFonts w:cs="Arial"/>
          <w:szCs w:val="19"/>
        </w:rPr>
        <w:t>jích</w:t>
      </w:r>
      <w:r w:rsidRPr="00BD63B0">
        <w:rPr>
          <w:rFonts w:cs="Arial"/>
          <w:szCs w:val="19"/>
        </w:rPr>
        <w:t xml:space="preserve"> částí, včetně příslušných právních kroků, které mají být podniknuty v souvislosti s jakýmkoliv porušením práva; a</w:t>
      </w:r>
    </w:p>
    <w:p w14:paraId="101F56D0" w14:textId="6FD12603" w:rsidR="006611A2" w:rsidRPr="00BD63B0" w:rsidRDefault="006611A2" w:rsidP="006611A2">
      <w:pPr>
        <w:numPr>
          <w:ilvl w:val="2"/>
          <w:numId w:val="2"/>
        </w:numPr>
        <w:tabs>
          <w:tab w:val="left" w:pos="0"/>
          <w:tab w:val="num" w:pos="709"/>
          <w:tab w:val="left" w:pos="851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>zajištění souladu se všemi právními předpisy a rozhodnutími státních nebo samosprávných orgánů vztahujícími se k</w:t>
      </w:r>
      <w:r w:rsidR="004A68DD">
        <w:rPr>
          <w:rFonts w:cs="Arial"/>
          <w:szCs w:val="19"/>
        </w:rPr>
        <w:t>e</w:t>
      </w:r>
      <w:r w:rsidRPr="00BD63B0">
        <w:rPr>
          <w:rFonts w:cs="Arial"/>
          <w:szCs w:val="19"/>
        </w:rPr>
        <w:t> </w:t>
      </w:r>
      <w:r w:rsidR="004A68DD">
        <w:rPr>
          <w:rFonts w:cs="Arial"/>
          <w:szCs w:val="19"/>
        </w:rPr>
        <w:t>Kancelářské části Budovy</w:t>
      </w:r>
      <w:r w:rsidR="004A68DD" w:rsidRPr="00BD63B0">
        <w:rPr>
          <w:rFonts w:cs="Arial"/>
          <w:szCs w:val="19"/>
        </w:rPr>
        <w:t xml:space="preserve"> </w:t>
      </w:r>
      <w:r w:rsidRPr="00BD63B0">
        <w:rPr>
          <w:rFonts w:cs="Arial"/>
          <w:szCs w:val="19"/>
        </w:rPr>
        <w:t>nebo je</w:t>
      </w:r>
      <w:r w:rsidR="00E525F8">
        <w:rPr>
          <w:rFonts w:cs="Arial"/>
          <w:szCs w:val="19"/>
        </w:rPr>
        <w:t>jímu</w:t>
      </w:r>
      <w:r w:rsidRPr="00BD63B0">
        <w:rPr>
          <w:rFonts w:cs="Arial"/>
          <w:szCs w:val="19"/>
        </w:rPr>
        <w:t xml:space="preserve"> provozu.</w:t>
      </w:r>
    </w:p>
    <w:p w14:paraId="1D52250F" w14:textId="77777777" w:rsidR="006611A2" w:rsidRPr="00BD63B0" w:rsidRDefault="006611A2" w:rsidP="006611A2">
      <w:pPr>
        <w:tabs>
          <w:tab w:val="left" w:pos="0"/>
          <w:tab w:val="left" w:pos="851"/>
        </w:tabs>
        <w:rPr>
          <w:rFonts w:cs="Arial"/>
          <w:szCs w:val="19"/>
        </w:rPr>
      </w:pPr>
    </w:p>
    <w:p w14:paraId="73646C77" w14:textId="0B8278E8" w:rsidR="006611A2" w:rsidRPr="00BD63B0" w:rsidRDefault="006611A2" w:rsidP="006611A2">
      <w:pPr>
        <w:tabs>
          <w:tab w:val="left" w:pos="559"/>
        </w:tabs>
        <w:rPr>
          <w:rFonts w:cs="Verdana"/>
          <w:szCs w:val="19"/>
        </w:rPr>
      </w:pPr>
      <w:r w:rsidRPr="00BD63B0">
        <w:rPr>
          <w:rFonts w:cs="Verdana"/>
          <w:szCs w:val="19"/>
        </w:rPr>
        <w:t xml:space="preserve">Do Služby poskytované pro </w:t>
      </w:r>
      <w:r w:rsidR="004A68DD">
        <w:rPr>
          <w:rFonts w:cs="Arial"/>
          <w:szCs w:val="19"/>
        </w:rPr>
        <w:t>Kancelářskou část Budovy</w:t>
      </w:r>
      <w:r w:rsidR="004A68DD" w:rsidRPr="00BD63B0">
        <w:rPr>
          <w:rFonts w:cs="Verdana"/>
          <w:szCs w:val="19"/>
        </w:rPr>
        <w:t xml:space="preserve"> </w:t>
      </w:r>
      <w:r w:rsidRPr="00BD63B0">
        <w:rPr>
          <w:rFonts w:cs="Verdana"/>
          <w:szCs w:val="19"/>
        </w:rPr>
        <w:t>budou dále zahrnuty rovněž kalkulační položky (v obdobném rozsahu, jaký je popsán výše), které se vztahují:</w:t>
      </w:r>
    </w:p>
    <w:p w14:paraId="6EA1FE06" w14:textId="77777777" w:rsidR="006611A2" w:rsidRPr="00BD63B0" w:rsidRDefault="006611A2" w:rsidP="006611A2">
      <w:pPr>
        <w:tabs>
          <w:tab w:val="left" w:pos="559"/>
        </w:tabs>
        <w:rPr>
          <w:rFonts w:cs="Verdana"/>
          <w:szCs w:val="19"/>
        </w:rPr>
      </w:pPr>
    </w:p>
    <w:p w14:paraId="579B227E" w14:textId="77777777" w:rsidR="006611A2" w:rsidRPr="00BD63B0" w:rsidRDefault="006611A2" w:rsidP="006611A2">
      <w:pPr>
        <w:pStyle w:val="Odstavecseseznamem"/>
        <w:numPr>
          <w:ilvl w:val="0"/>
          <w:numId w:val="4"/>
        </w:numPr>
        <w:ind w:left="709" w:hanging="709"/>
        <w:rPr>
          <w:rFonts w:cs="Verdana"/>
          <w:szCs w:val="19"/>
        </w:rPr>
      </w:pPr>
      <w:r w:rsidRPr="00BD63B0">
        <w:rPr>
          <w:rFonts w:cs="Verdana"/>
          <w:szCs w:val="19"/>
        </w:rPr>
        <w:t>k Areálu. Celkové náklady na tyto kalkulační položky budou ponížené o část nákladů připadajících dle rozhodnutí Pronajímatele na rezidenční část Projektu určenou Pronajímatelem, zahrnující především ubytovací jednotky, byty a související prostory (dále jen „</w:t>
      </w:r>
      <w:r w:rsidRPr="00BD63B0">
        <w:rPr>
          <w:rFonts w:cs="Verdana"/>
          <w:b/>
          <w:szCs w:val="19"/>
        </w:rPr>
        <w:t>Rezidenční části Projektu</w:t>
      </w:r>
      <w:r w:rsidRPr="00BD63B0">
        <w:rPr>
          <w:rFonts w:cs="Verdana"/>
          <w:szCs w:val="19"/>
        </w:rPr>
        <w:t xml:space="preserve">“) a zbývající část nákladů bude rozdělena mezi </w:t>
      </w:r>
      <w:r w:rsidR="00206285">
        <w:rPr>
          <w:rFonts w:cs="Verdana"/>
          <w:szCs w:val="19"/>
        </w:rPr>
        <w:t xml:space="preserve">Kanceláře Dornych </w:t>
      </w:r>
      <w:r w:rsidRPr="00BD63B0">
        <w:rPr>
          <w:rFonts w:cs="Verdana"/>
          <w:szCs w:val="19"/>
        </w:rPr>
        <w:t xml:space="preserve">a </w:t>
      </w:r>
      <w:r w:rsidR="00206285">
        <w:rPr>
          <w:szCs w:val="19"/>
        </w:rPr>
        <w:t>obchodní</w:t>
      </w:r>
      <w:r w:rsidRPr="00BD63B0">
        <w:rPr>
          <w:szCs w:val="19"/>
        </w:rPr>
        <w:t xml:space="preserve"> část </w:t>
      </w:r>
      <w:r w:rsidRPr="00CE3D55">
        <w:rPr>
          <w:szCs w:val="19"/>
        </w:rPr>
        <w:t>Projektu</w:t>
      </w:r>
      <w:r w:rsidR="00206285" w:rsidRPr="00CE3D55">
        <w:rPr>
          <w:szCs w:val="19"/>
        </w:rPr>
        <w:t xml:space="preserve"> určenou Pronajímatelem, tvořenou obchodním centrem s názvem „Dornych“ (nebo jiným názvem určeným</w:t>
      </w:r>
      <w:r w:rsidR="00206285">
        <w:rPr>
          <w:szCs w:val="19"/>
        </w:rPr>
        <w:t xml:space="preserve"> Pronajímatelem) zahrnujícím maloobchodní prostory, restaurace a další prostory pro obchod a služby </w:t>
      </w:r>
      <w:r w:rsidRPr="00BD63B0">
        <w:rPr>
          <w:rFonts w:cs="Verdana"/>
          <w:szCs w:val="19"/>
        </w:rPr>
        <w:t>(dále jen „</w:t>
      </w:r>
      <w:r w:rsidR="00206285" w:rsidRPr="00206285">
        <w:rPr>
          <w:rFonts w:cs="Verdana"/>
          <w:b/>
          <w:szCs w:val="19"/>
        </w:rPr>
        <w:t>Retail Dornych</w:t>
      </w:r>
      <w:r w:rsidRPr="00BD63B0">
        <w:rPr>
          <w:rFonts w:cs="Verdana"/>
          <w:szCs w:val="19"/>
        </w:rPr>
        <w:t xml:space="preserve">“), tak, že na </w:t>
      </w:r>
      <w:r w:rsidR="00206285">
        <w:rPr>
          <w:rFonts w:cs="Verdana"/>
          <w:szCs w:val="19"/>
        </w:rPr>
        <w:t>Kanceláře</w:t>
      </w:r>
      <w:r w:rsidRPr="00BD63B0">
        <w:rPr>
          <w:rFonts w:cs="Verdana"/>
          <w:szCs w:val="19"/>
        </w:rPr>
        <w:t xml:space="preserve"> Dornych bude připadat část těchto nákladů v poměru součtu všech pronajímatelných ploch v dané době dokončených částí </w:t>
      </w:r>
      <w:r w:rsidR="00206285">
        <w:rPr>
          <w:rFonts w:cs="Verdana"/>
          <w:szCs w:val="19"/>
        </w:rPr>
        <w:t>Kanceláří</w:t>
      </w:r>
      <w:r w:rsidRPr="00BD63B0">
        <w:rPr>
          <w:rFonts w:cs="Verdana"/>
          <w:szCs w:val="19"/>
        </w:rPr>
        <w:t xml:space="preserve"> Dornych k součtu všech pronajímatelných ploch v dané době dokončených částí </w:t>
      </w:r>
      <w:r w:rsidR="00206285">
        <w:rPr>
          <w:rFonts w:cs="Verdana"/>
          <w:szCs w:val="19"/>
        </w:rPr>
        <w:t>Kanceláří</w:t>
      </w:r>
      <w:r w:rsidR="00206285" w:rsidRPr="00BD63B0">
        <w:rPr>
          <w:rFonts w:cs="Verdana"/>
          <w:szCs w:val="19"/>
        </w:rPr>
        <w:t xml:space="preserve"> </w:t>
      </w:r>
      <w:r w:rsidRPr="00BD63B0">
        <w:rPr>
          <w:rFonts w:cs="Verdana"/>
          <w:szCs w:val="19"/>
        </w:rPr>
        <w:t xml:space="preserve">Dornych a </w:t>
      </w:r>
      <w:r w:rsidR="00206285">
        <w:rPr>
          <w:rFonts w:cs="Verdana"/>
          <w:szCs w:val="19"/>
        </w:rPr>
        <w:t>Retailu</w:t>
      </w:r>
      <w:r w:rsidRPr="00BD63B0">
        <w:rPr>
          <w:rFonts w:cs="Verdana"/>
          <w:szCs w:val="19"/>
        </w:rPr>
        <w:t xml:space="preserve"> Dornych, včetně podílu takových pronajímatelných ploch Kanceláří Dornych na společných prostorách Kanceláří Dornych (tzn. včetně add-on faktoru);</w:t>
      </w:r>
    </w:p>
    <w:p w14:paraId="75870E6B" w14:textId="77777777" w:rsidR="006611A2" w:rsidRPr="00BD63B0" w:rsidRDefault="006611A2" w:rsidP="006611A2">
      <w:pPr>
        <w:pStyle w:val="Odstavecseseznamem"/>
        <w:ind w:left="709" w:hanging="709"/>
        <w:rPr>
          <w:rFonts w:cs="Verdana"/>
          <w:szCs w:val="19"/>
        </w:rPr>
      </w:pPr>
    </w:p>
    <w:p w14:paraId="5941061F" w14:textId="77777777" w:rsidR="006611A2" w:rsidRPr="00CE3D55" w:rsidRDefault="006611A2" w:rsidP="006611A2">
      <w:pPr>
        <w:pStyle w:val="Odstavecseseznamem"/>
        <w:numPr>
          <w:ilvl w:val="0"/>
          <w:numId w:val="4"/>
        </w:numPr>
        <w:ind w:left="709" w:hanging="709"/>
        <w:rPr>
          <w:rFonts w:cs="Verdana"/>
          <w:szCs w:val="19"/>
        </w:rPr>
      </w:pPr>
      <w:r w:rsidRPr="00BD63B0">
        <w:rPr>
          <w:rFonts w:cs="Verdana"/>
          <w:szCs w:val="19"/>
        </w:rPr>
        <w:t>k jiným částem Projektu, než je Areál</w:t>
      </w:r>
      <w:r w:rsidRPr="006C28C1">
        <w:rPr>
          <w:rFonts w:cs="Verdana"/>
          <w:szCs w:val="19"/>
        </w:rPr>
        <w:t>, a nevztahují se svou povahou výlučně k Rezidenční části Projektu, a které se současně nevztahují dle určení Pronajímatele výlučně ani ke Kancelářím Dornych</w:t>
      </w:r>
      <w:r w:rsidR="00206285" w:rsidRPr="006C28C1">
        <w:rPr>
          <w:rFonts w:cs="Verdana"/>
          <w:szCs w:val="19"/>
        </w:rPr>
        <w:t xml:space="preserve"> ani k  Retailu Dornych</w:t>
      </w:r>
      <w:r w:rsidRPr="006C28C1">
        <w:rPr>
          <w:rFonts w:cs="Verdana"/>
          <w:szCs w:val="19"/>
        </w:rPr>
        <w:t xml:space="preserve">. Celkové náklady na tyto nevýlučné kalkulační položky budou připadat na </w:t>
      </w:r>
      <w:r w:rsidR="00206285" w:rsidRPr="006C28C1">
        <w:rPr>
          <w:rFonts w:cs="Verdana"/>
          <w:szCs w:val="19"/>
        </w:rPr>
        <w:t>Kanceláře</w:t>
      </w:r>
      <w:r w:rsidRPr="006C28C1">
        <w:rPr>
          <w:rFonts w:cs="Verdana"/>
          <w:szCs w:val="19"/>
        </w:rPr>
        <w:t xml:space="preserve"> Dornych v poměru součtu všech pronajímatelných ploch v dané době dokončených částí</w:t>
      </w:r>
      <w:r w:rsidRPr="00BD63B0">
        <w:rPr>
          <w:rFonts w:cs="Verdana"/>
          <w:szCs w:val="19"/>
        </w:rPr>
        <w:t xml:space="preserve"> </w:t>
      </w:r>
      <w:r w:rsidR="00206285">
        <w:rPr>
          <w:rFonts w:cs="Verdana"/>
          <w:szCs w:val="19"/>
        </w:rPr>
        <w:t>Kanceláří</w:t>
      </w:r>
      <w:r w:rsidRPr="00BD63B0">
        <w:rPr>
          <w:rFonts w:cs="Verdana"/>
          <w:szCs w:val="19"/>
        </w:rPr>
        <w:t xml:space="preserve"> Dornych k součtu všech pronajímatelných ploch v dané době dokončených částí </w:t>
      </w:r>
      <w:r w:rsidR="00206285">
        <w:rPr>
          <w:rFonts w:cs="Verdana"/>
          <w:szCs w:val="19"/>
        </w:rPr>
        <w:t>Kanceláří</w:t>
      </w:r>
      <w:r w:rsidRPr="00BD63B0">
        <w:rPr>
          <w:rFonts w:cs="Verdana"/>
          <w:szCs w:val="19"/>
        </w:rPr>
        <w:t xml:space="preserve"> Dornych a </w:t>
      </w:r>
      <w:r w:rsidR="00206285">
        <w:rPr>
          <w:rFonts w:cs="Verdana"/>
          <w:szCs w:val="19"/>
        </w:rPr>
        <w:t>Retailu</w:t>
      </w:r>
      <w:r w:rsidRPr="00BD63B0">
        <w:rPr>
          <w:rFonts w:cs="Verdana"/>
          <w:szCs w:val="19"/>
        </w:rPr>
        <w:t xml:space="preserve"> Dornych, včetně podílu takových pronajímatelných ploch Kanceláří </w:t>
      </w:r>
      <w:r w:rsidRPr="00CE3D55">
        <w:rPr>
          <w:rFonts w:cs="Verdana"/>
          <w:szCs w:val="19"/>
        </w:rPr>
        <w:t>Dornych na společných prostorách Kanceláří Dornych (tzn. včetně add-on faktoru);</w:t>
      </w:r>
    </w:p>
    <w:p w14:paraId="2E94B8CA" w14:textId="77777777" w:rsidR="006611A2" w:rsidRPr="00CE3D55" w:rsidRDefault="006611A2" w:rsidP="006611A2">
      <w:pPr>
        <w:pStyle w:val="Odstavecseseznamem"/>
        <w:rPr>
          <w:rFonts w:cs="Verdana"/>
          <w:szCs w:val="19"/>
        </w:rPr>
      </w:pPr>
    </w:p>
    <w:p w14:paraId="1A81FBF2" w14:textId="1534A393" w:rsidR="006611A2" w:rsidRPr="00CE3D55" w:rsidRDefault="006611A2" w:rsidP="006611A2">
      <w:pPr>
        <w:pStyle w:val="Odstavecseseznamem"/>
        <w:numPr>
          <w:ilvl w:val="0"/>
          <w:numId w:val="4"/>
        </w:numPr>
        <w:ind w:left="709" w:hanging="709"/>
        <w:rPr>
          <w:rFonts w:cs="Verdana"/>
          <w:szCs w:val="19"/>
        </w:rPr>
      </w:pPr>
      <w:r w:rsidRPr="00CE3D55">
        <w:rPr>
          <w:rFonts w:cs="Verdana"/>
          <w:szCs w:val="19"/>
        </w:rPr>
        <w:t>výlučně k užívání parkovacích míst v podzemní části Projektu</w:t>
      </w:r>
      <w:r w:rsidR="00CE3D55" w:rsidRPr="00CE3D55">
        <w:rPr>
          <w:rFonts w:cs="Verdana"/>
          <w:szCs w:val="19"/>
        </w:rPr>
        <w:t>,</w:t>
      </w:r>
      <w:r w:rsidR="004E5745">
        <w:rPr>
          <w:rFonts w:cs="Verdana"/>
          <w:szCs w:val="19"/>
        </w:rPr>
        <w:t xml:space="preserve"> přičemž na Kanceláře Dornych bude připadat část nákladů na tyto kalkulační položky odpovídající paušálním platbám za </w:t>
      </w:r>
      <w:r w:rsidR="001C2AA6">
        <w:rPr>
          <w:rFonts w:cs="Verdana"/>
          <w:szCs w:val="19"/>
        </w:rPr>
        <w:t>část Služby spojenou s užíváním</w:t>
      </w:r>
      <w:r w:rsidR="004E5745">
        <w:rPr>
          <w:rFonts w:cs="Verdana"/>
          <w:szCs w:val="19"/>
        </w:rPr>
        <w:t> parkovací</w:t>
      </w:r>
      <w:r w:rsidR="001C2AA6">
        <w:rPr>
          <w:rFonts w:cs="Verdana"/>
          <w:szCs w:val="19"/>
        </w:rPr>
        <w:t>ch</w:t>
      </w:r>
      <w:r w:rsidR="004E5745">
        <w:rPr>
          <w:rFonts w:cs="Verdana"/>
          <w:szCs w:val="19"/>
        </w:rPr>
        <w:t xml:space="preserve"> míst, které jsou hrazeny </w:t>
      </w:r>
      <w:r w:rsidR="001C2AA6">
        <w:rPr>
          <w:rFonts w:cs="Verdana"/>
          <w:szCs w:val="19"/>
        </w:rPr>
        <w:t xml:space="preserve">pouze </w:t>
      </w:r>
      <w:r w:rsidR="004E5745">
        <w:rPr>
          <w:rFonts w:cs="Verdana"/>
          <w:szCs w:val="19"/>
        </w:rPr>
        <w:t>nájemci</w:t>
      </w:r>
      <w:r w:rsidR="00CE3D55" w:rsidRPr="00CE3D55">
        <w:rPr>
          <w:rFonts w:cs="Verdana"/>
          <w:szCs w:val="19"/>
        </w:rPr>
        <w:t xml:space="preserve"> Kanceláří Dornych</w:t>
      </w:r>
      <w:r w:rsidR="004E5745">
        <w:rPr>
          <w:rFonts w:cs="Verdana"/>
          <w:szCs w:val="19"/>
        </w:rPr>
        <w:t>, kteří mají v nájmu parkovací místa v podzemní části Projektu</w:t>
      </w:r>
      <w:r w:rsidR="0094015B" w:rsidRPr="00CE3D55">
        <w:rPr>
          <w:rFonts w:cs="Verdana"/>
          <w:szCs w:val="19"/>
        </w:rPr>
        <w:t>;</w:t>
      </w:r>
    </w:p>
    <w:p w14:paraId="07AB2F3C" w14:textId="77777777" w:rsidR="006611A2" w:rsidRPr="00BD63B0" w:rsidRDefault="006611A2" w:rsidP="006611A2">
      <w:pPr>
        <w:tabs>
          <w:tab w:val="left" w:pos="559"/>
        </w:tabs>
        <w:rPr>
          <w:rFonts w:cs="Verdana"/>
          <w:szCs w:val="19"/>
        </w:rPr>
      </w:pPr>
    </w:p>
    <w:p w14:paraId="4D3FCCBD" w14:textId="6ABC4DF1" w:rsidR="00090ABC" w:rsidRPr="00BD63B0" w:rsidRDefault="0094015B" w:rsidP="00090ABC">
      <w:pPr>
        <w:tabs>
          <w:tab w:val="left" w:pos="0"/>
          <w:tab w:val="left" w:pos="851"/>
        </w:tabs>
        <w:rPr>
          <w:rFonts w:eastAsia="Batang" w:cs="Arial"/>
          <w:bCs/>
          <w:szCs w:val="19"/>
        </w:rPr>
      </w:pPr>
      <w:bookmarkStart w:id="0" w:name="_Hlk113954392"/>
      <w:r>
        <w:rPr>
          <w:rFonts w:eastAsia="Batang"/>
          <w:szCs w:val="19"/>
        </w:rPr>
        <w:t xml:space="preserve">přičemž </w:t>
      </w:r>
      <w:r w:rsidRPr="00BD63B0">
        <w:rPr>
          <w:rFonts w:eastAsia="Batang"/>
          <w:szCs w:val="19"/>
        </w:rPr>
        <w:t>podíl</w:t>
      </w:r>
      <w:r w:rsidR="001C2AA6">
        <w:rPr>
          <w:rFonts w:eastAsia="Batang"/>
          <w:szCs w:val="19"/>
        </w:rPr>
        <w:t xml:space="preserve"> Kancelářské části</w:t>
      </w:r>
      <w:r>
        <w:rPr>
          <w:rFonts w:eastAsia="Batang"/>
          <w:szCs w:val="19"/>
        </w:rPr>
        <w:t xml:space="preserve"> Budovy na nákladech </w:t>
      </w:r>
      <w:r w:rsidR="00832FF7">
        <w:rPr>
          <w:rFonts w:eastAsia="Batang"/>
          <w:szCs w:val="19"/>
        </w:rPr>
        <w:t>připadající</w:t>
      </w:r>
      <w:r>
        <w:rPr>
          <w:rFonts w:eastAsia="Batang"/>
          <w:szCs w:val="19"/>
        </w:rPr>
        <w:t xml:space="preserve">ch dle </w:t>
      </w:r>
      <w:r w:rsidRPr="00CE3D55">
        <w:rPr>
          <w:rFonts w:eastAsia="Batang"/>
          <w:szCs w:val="19"/>
        </w:rPr>
        <w:t>bodů (i) až (ii) výše</w:t>
      </w:r>
      <w:r>
        <w:rPr>
          <w:rFonts w:eastAsia="Batang"/>
          <w:szCs w:val="19"/>
        </w:rPr>
        <w:t xml:space="preserve"> na Kanceláře Dornych</w:t>
      </w:r>
      <w:r w:rsidR="00832FF7">
        <w:rPr>
          <w:rFonts w:eastAsia="Batang"/>
          <w:szCs w:val="19"/>
        </w:rPr>
        <w:t>,</w:t>
      </w:r>
      <w:r>
        <w:rPr>
          <w:rFonts w:eastAsia="Batang"/>
          <w:szCs w:val="19"/>
        </w:rPr>
        <w:t xml:space="preserve"> bude </w:t>
      </w:r>
      <w:r w:rsidR="00090ABC">
        <w:rPr>
          <w:rFonts w:eastAsia="Batang"/>
          <w:szCs w:val="19"/>
        </w:rPr>
        <w:t xml:space="preserve">určen </w:t>
      </w:r>
      <w:r w:rsidR="00090ABC" w:rsidRPr="00BD63B0">
        <w:rPr>
          <w:rFonts w:eastAsia="Batang" w:cs="Arial"/>
          <w:szCs w:val="19"/>
        </w:rPr>
        <w:t xml:space="preserve">jako procentní </w:t>
      </w:r>
      <w:r w:rsidR="00090ABC" w:rsidRPr="00BD63B0">
        <w:rPr>
          <w:rFonts w:eastAsia="Batang"/>
          <w:szCs w:val="19"/>
        </w:rPr>
        <w:t>podíl vypočtený k</w:t>
      </w:r>
      <w:r w:rsidR="00090ABC" w:rsidRPr="00BD63B0">
        <w:rPr>
          <w:rFonts w:eastAsia="Batang" w:cs="Arial"/>
          <w:szCs w:val="19"/>
        </w:rPr>
        <w:t xml:space="preserve">e kterémukoliv dni </w:t>
      </w:r>
      <w:r w:rsidR="00090ABC" w:rsidRPr="00BD63B0">
        <w:rPr>
          <w:rFonts w:eastAsia="Batang"/>
          <w:szCs w:val="19"/>
        </w:rPr>
        <w:t xml:space="preserve">jako poměr </w:t>
      </w:r>
      <w:r w:rsidR="00090ABC" w:rsidRPr="00BD63B0">
        <w:rPr>
          <w:rFonts w:eastAsia="Batang" w:cs="Arial"/>
          <w:szCs w:val="19"/>
        </w:rPr>
        <w:t xml:space="preserve">(vyjádřený procentem) </w:t>
      </w:r>
      <w:r w:rsidR="00090ABC" w:rsidRPr="00CE3D55">
        <w:rPr>
          <w:rFonts w:eastAsia="Batang" w:cs="Arial"/>
          <w:szCs w:val="19"/>
        </w:rPr>
        <w:t xml:space="preserve">mezi součtem </w:t>
      </w:r>
      <w:r w:rsidR="00CE3D55" w:rsidRPr="00CE3D55">
        <w:rPr>
          <w:rFonts w:eastAsia="Batang" w:cs="Arial"/>
          <w:szCs w:val="19"/>
        </w:rPr>
        <w:t>všech pronajímatelných</w:t>
      </w:r>
      <w:r w:rsidR="00090ABC" w:rsidRPr="00CE3D55">
        <w:rPr>
          <w:rFonts w:eastAsia="Batang" w:cs="Arial"/>
          <w:szCs w:val="19"/>
        </w:rPr>
        <w:t xml:space="preserve"> </w:t>
      </w:r>
      <w:r w:rsidR="001C2AA6">
        <w:rPr>
          <w:rFonts w:eastAsia="Batang" w:cs="Arial"/>
          <w:szCs w:val="19"/>
        </w:rPr>
        <w:t xml:space="preserve">kancelářských </w:t>
      </w:r>
      <w:r w:rsidR="00090ABC" w:rsidRPr="00CE3D55">
        <w:rPr>
          <w:rFonts w:eastAsia="Batang" w:cs="Arial"/>
          <w:szCs w:val="19"/>
        </w:rPr>
        <w:t>ploch</w:t>
      </w:r>
      <w:r w:rsidR="00CE3D55" w:rsidRPr="00CE3D55">
        <w:rPr>
          <w:rFonts w:eastAsia="Batang" w:cs="Arial"/>
          <w:szCs w:val="19"/>
        </w:rPr>
        <w:t xml:space="preserve"> v </w:t>
      </w:r>
      <w:r w:rsidR="001C2AA6">
        <w:rPr>
          <w:rFonts w:eastAsia="Batang" w:cs="Arial"/>
          <w:szCs w:val="19"/>
        </w:rPr>
        <w:t>Kancelářské</w:t>
      </w:r>
      <w:r w:rsidR="00CE3D55" w:rsidRPr="00CE3D55">
        <w:rPr>
          <w:rFonts w:eastAsia="Batang" w:cs="Arial"/>
          <w:szCs w:val="19"/>
        </w:rPr>
        <w:t xml:space="preserve"> části</w:t>
      </w:r>
      <w:r w:rsidR="00090ABC" w:rsidRPr="00CE3D55">
        <w:rPr>
          <w:rFonts w:eastAsia="Batang"/>
          <w:szCs w:val="19"/>
        </w:rPr>
        <w:t xml:space="preserve"> Budovy </w:t>
      </w:r>
      <w:r w:rsidR="00CE3D55" w:rsidRPr="00CE3D55">
        <w:rPr>
          <w:rFonts w:eastAsia="Batang"/>
          <w:szCs w:val="19"/>
        </w:rPr>
        <w:t xml:space="preserve">a součtem všech pronajímatelných </w:t>
      </w:r>
      <w:r w:rsidR="001C2AA6">
        <w:rPr>
          <w:rFonts w:eastAsia="Batang"/>
          <w:szCs w:val="19"/>
        </w:rPr>
        <w:t xml:space="preserve">kancelářských </w:t>
      </w:r>
      <w:r w:rsidR="00CE3D55" w:rsidRPr="00CE3D55">
        <w:rPr>
          <w:rFonts w:eastAsia="Batang"/>
          <w:szCs w:val="19"/>
        </w:rPr>
        <w:t>ploch v Kanceláří</w:t>
      </w:r>
      <w:r w:rsidR="001C2AA6">
        <w:rPr>
          <w:rFonts w:eastAsia="Batang"/>
          <w:szCs w:val="19"/>
        </w:rPr>
        <w:t>ch</w:t>
      </w:r>
      <w:r w:rsidR="00CE3D55" w:rsidRPr="00CE3D55">
        <w:rPr>
          <w:rFonts w:eastAsia="Batang"/>
          <w:szCs w:val="19"/>
        </w:rPr>
        <w:t xml:space="preserve"> Dornych</w:t>
      </w:r>
      <w:r w:rsidR="00CE3D55">
        <w:rPr>
          <w:rFonts w:eastAsia="Batang"/>
          <w:szCs w:val="19"/>
        </w:rPr>
        <w:t xml:space="preserve"> a p</w:t>
      </w:r>
      <w:r w:rsidR="00CE3D55">
        <w:rPr>
          <w:rFonts w:eastAsia="Batang" w:cs="Arial"/>
          <w:bCs/>
          <w:szCs w:val="19"/>
        </w:rPr>
        <w:t>o</w:t>
      </w:r>
      <w:r w:rsidR="00CE3D55" w:rsidRPr="00BD63B0">
        <w:rPr>
          <w:rFonts w:eastAsia="Batang"/>
          <w:szCs w:val="19"/>
        </w:rPr>
        <w:t>díl</w:t>
      </w:r>
      <w:r w:rsidR="00CE3D55">
        <w:rPr>
          <w:rFonts w:eastAsia="Batang"/>
          <w:szCs w:val="19"/>
        </w:rPr>
        <w:t xml:space="preserve"> </w:t>
      </w:r>
      <w:r w:rsidR="004C24C8">
        <w:rPr>
          <w:rFonts w:eastAsia="Batang"/>
          <w:szCs w:val="19"/>
        </w:rPr>
        <w:t xml:space="preserve">Kancelářské části </w:t>
      </w:r>
      <w:r w:rsidR="00CE3D55">
        <w:rPr>
          <w:rFonts w:eastAsia="Batang"/>
          <w:szCs w:val="19"/>
        </w:rPr>
        <w:t>Budovy na nákladech dle bodu (iii) výše</w:t>
      </w:r>
      <w:r w:rsidR="00CE3D55">
        <w:rPr>
          <w:rFonts w:eastAsia="Batang" w:cs="Arial"/>
          <w:bCs/>
          <w:szCs w:val="19"/>
        </w:rPr>
        <w:t xml:space="preserve"> bude odpovídat </w:t>
      </w:r>
      <w:r w:rsidR="001C2AA6">
        <w:rPr>
          <w:rFonts w:eastAsia="Batang" w:cs="Arial"/>
          <w:bCs/>
          <w:szCs w:val="19"/>
        </w:rPr>
        <w:t xml:space="preserve">souhrnu všech </w:t>
      </w:r>
      <w:r w:rsidR="001C2AA6">
        <w:rPr>
          <w:rFonts w:cs="Verdana"/>
          <w:szCs w:val="19"/>
        </w:rPr>
        <w:t>paušálních</w:t>
      </w:r>
      <w:r w:rsidR="004E5745">
        <w:rPr>
          <w:rFonts w:cs="Verdana"/>
          <w:szCs w:val="19"/>
        </w:rPr>
        <w:t xml:space="preserve"> plat</w:t>
      </w:r>
      <w:r w:rsidR="001C2AA6">
        <w:rPr>
          <w:rFonts w:cs="Verdana"/>
          <w:szCs w:val="19"/>
        </w:rPr>
        <w:t>e</w:t>
      </w:r>
      <w:r w:rsidR="004E5745">
        <w:rPr>
          <w:rFonts w:cs="Verdana"/>
          <w:szCs w:val="19"/>
        </w:rPr>
        <w:t xml:space="preserve">b za </w:t>
      </w:r>
      <w:r w:rsidR="001C2AA6">
        <w:rPr>
          <w:rFonts w:cs="Verdana"/>
          <w:szCs w:val="19"/>
        </w:rPr>
        <w:t xml:space="preserve">část Služby spojenou s užíváním parkovacích míst, </w:t>
      </w:r>
      <w:r w:rsidR="004E5745">
        <w:rPr>
          <w:rFonts w:cs="Verdana"/>
          <w:szCs w:val="19"/>
        </w:rPr>
        <w:t>hrazen</w:t>
      </w:r>
      <w:r w:rsidR="001C2AA6">
        <w:rPr>
          <w:rFonts w:cs="Verdana"/>
          <w:szCs w:val="19"/>
        </w:rPr>
        <w:t>ých</w:t>
      </w:r>
      <w:r w:rsidR="004E5745">
        <w:rPr>
          <w:rFonts w:cs="Verdana"/>
          <w:szCs w:val="19"/>
        </w:rPr>
        <w:t xml:space="preserve"> nájemci </w:t>
      </w:r>
      <w:r w:rsidR="001C2AA6">
        <w:rPr>
          <w:rFonts w:cs="Verdana"/>
          <w:szCs w:val="19"/>
        </w:rPr>
        <w:t xml:space="preserve">Kancelářské části </w:t>
      </w:r>
      <w:r w:rsidR="004E5745">
        <w:rPr>
          <w:rFonts w:cs="Verdana"/>
          <w:szCs w:val="19"/>
        </w:rPr>
        <w:t>Budovy</w:t>
      </w:r>
      <w:r w:rsidR="001C2AA6">
        <w:rPr>
          <w:rFonts w:cs="Verdana"/>
          <w:szCs w:val="19"/>
        </w:rPr>
        <w:t>,</w:t>
      </w:r>
      <w:r w:rsidR="004E5745">
        <w:rPr>
          <w:rFonts w:cs="Verdana"/>
          <w:szCs w:val="19"/>
        </w:rPr>
        <w:t xml:space="preserve"> kteří mají v nájmu parkovací místa v podzemní části Projektu</w:t>
      </w:r>
      <w:r w:rsidR="00CE3D55">
        <w:rPr>
          <w:rFonts w:eastAsia="Batang" w:cs="Arial"/>
          <w:bCs/>
          <w:szCs w:val="19"/>
        </w:rPr>
        <w:t>.</w:t>
      </w:r>
    </w:p>
    <w:p w14:paraId="239E547D" w14:textId="77777777" w:rsidR="0094015B" w:rsidRDefault="0094015B" w:rsidP="006611A2">
      <w:pPr>
        <w:tabs>
          <w:tab w:val="left" w:pos="0"/>
          <w:tab w:val="left" w:pos="851"/>
        </w:tabs>
        <w:rPr>
          <w:rFonts w:eastAsia="Batang"/>
          <w:szCs w:val="19"/>
        </w:rPr>
      </w:pPr>
      <w:r>
        <w:rPr>
          <w:rFonts w:eastAsia="Batang"/>
          <w:szCs w:val="19"/>
        </w:rPr>
        <w:t xml:space="preserve"> </w:t>
      </w:r>
    </w:p>
    <w:p w14:paraId="0C1C137C" w14:textId="2205444E" w:rsidR="006611A2" w:rsidRPr="00BD63B0" w:rsidRDefault="006611A2" w:rsidP="006611A2">
      <w:pPr>
        <w:tabs>
          <w:tab w:val="left" w:pos="0"/>
          <w:tab w:val="left" w:pos="851"/>
        </w:tabs>
        <w:rPr>
          <w:rFonts w:eastAsia="Batang" w:cs="Tahoma"/>
          <w:szCs w:val="19"/>
        </w:rPr>
      </w:pPr>
      <w:r w:rsidRPr="00BD63B0">
        <w:rPr>
          <w:rFonts w:eastAsia="Batang"/>
          <w:szCs w:val="19"/>
        </w:rPr>
        <w:t xml:space="preserve">Pro účely určení podílu Nájemce na celkových skutečných ročních nákladech </w:t>
      </w:r>
      <w:r w:rsidR="001C2AA6">
        <w:rPr>
          <w:rFonts w:eastAsia="Batang"/>
          <w:szCs w:val="19"/>
        </w:rPr>
        <w:t xml:space="preserve">Kancelářské části </w:t>
      </w:r>
      <w:r w:rsidR="0094015B">
        <w:rPr>
          <w:rFonts w:eastAsia="Batang"/>
          <w:szCs w:val="19"/>
        </w:rPr>
        <w:t>Budovy</w:t>
      </w:r>
      <w:r w:rsidRPr="00BD63B0">
        <w:rPr>
          <w:rFonts w:eastAsia="Batang"/>
          <w:szCs w:val="19"/>
        </w:rPr>
        <w:t xml:space="preserve"> na </w:t>
      </w:r>
      <w:r w:rsidRPr="00BD63B0">
        <w:rPr>
          <w:rFonts w:eastAsia="Batang" w:cs="Arial"/>
          <w:szCs w:val="19"/>
        </w:rPr>
        <w:t>Službu (tj. Poplatků za Službu) budou od celkových skutečných ročních nákladů</w:t>
      </w:r>
      <w:r w:rsidR="001C2AA6">
        <w:rPr>
          <w:rFonts w:eastAsia="Batang" w:cs="Arial"/>
          <w:szCs w:val="19"/>
        </w:rPr>
        <w:t xml:space="preserve"> Kancelářské části</w:t>
      </w:r>
      <w:r w:rsidRPr="00BD63B0">
        <w:rPr>
          <w:rFonts w:eastAsia="Batang" w:cs="Arial"/>
          <w:szCs w:val="19"/>
        </w:rPr>
        <w:t xml:space="preserve"> </w:t>
      </w:r>
      <w:r w:rsidR="0094015B">
        <w:rPr>
          <w:rFonts w:eastAsia="Batang"/>
          <w:szCs w:val="19"/>
        </w:rPr>
        <w:t>Budovy</w:t>
      </w:r>
      <w:r w:rsidR="0094015B" w:rsidRPr="00BD63B0">
        <w:rPr>
          <w:rFonts w:eastAsia="Batang"/>
          <w:szCs w:val="19"/>
        </w:rPr>
        <w:t xml:space="preserve"> </w:t>
      </w:r>
      <w:r w:rsidRPr="00BD63B0">
        <w:rPr>
          <w:rFonts w:eastAsia="Batang" w:cs="Arial"/>
          <w:szCs w:val="19"/>
        </w:rPr>
        <w:t xml:space="preserve">na Službu nejdříve odečteny paušální platby </w:t>
      </w:r>
      <w:r w:rsidR="004C24C8">
        <w:rPr>
          <w:rFonts w:eastAsia="Batang" w:cs="Arial"/>
          <w:szCs w:val="19"/>
        </w:rPr>
        <w:t xml:space="preserve">nájemců Kancelářské části Budovy </w:t>
      </w:r>
      <w:r w:rsidRPr="00BD63B0">
        <w:rPr>
          <w:rFonts w:eastAsia="Batang" w:cs="Arial"/>
          <w:szCs w:val="19"/>
        </w:rPr>
        <w:t>za část S</w:t>
      </w:r>
      <w:r w:rsidRPr="00BD63B0">
        <w:rPr>
          <w:rFonts w:eastAsia="Batang" w:cs="Tahoma"/>
          <w:szCs w:val="19"/>
        </w:rPr>
        <w:t>lužby spojen</w:t>
      </w:r>
      <w:r w:rsidR="00423EC9">
        <w:rPr>
          <w:rFonts w:eastAsia="Batang" w:cs="Tahoma"/>
          <w:szCs w:val="19"/>
        </w:rPr>
        <w:t>ou</w:t>
      </w:r>
      <w:r w:rsidRPr="00BD63B0">
        <w:rPr>
          <w:rFonts w:eastAsia="Batang" w:cs="Tahoma"/>
          <w:szCs w:val="19"/>
        </w:rPr>
        <w:t xml:space="preserve"> s užíváním </w:t>
      </w:r>
      <w:r w:rsidR="00832FF7">
        <w:rPr>
          <w:rFonts w:eastAsia="Batang" w:cs="Arial"/>
          <w:szCs w:val="19"/>
        </w:rPr>
        <w:t xml:space="preserve">skladovacích prostor </w:t>
      </w:r>
      <w:r w:rsidRPr="00BD63B0">
        <w:rPr>
          <w:rFonts w:eastAsia="Batang" w:cs="Tahoma"/>
          <w:szCs w:val="19"/>
        </w:rPr>
        <w:t>a parkovacích míst; platby za vjezd pro zásobování a krátkodobé užití parkovacího místa budou stanoveny Pronajímatelem v sazebníku a tyto platby bude Nájemce povinen hradit nad rámec (Odhadovaných) Poplatků za Službu a dalších plateb hrazených dle Smlouvy.</w:t>
      </w:r>
    </w:p>
    <w:bookmarkEnd w:id="0"/>
    <w:p w14:paraId="2C2427E2" w14:textId="77777777" w:rsidR="006611A2" w:rsidRPr="00BD63B0" w:rsidRDefault="006611A2" w:rsidP="006611A2">
      <w:pPr>
        <w:tabs>
          <w:tab w:val="left" w:pos="0"/>
          <w:tab w:val="left" w:pos="851"/>
        </w:tabs>
        <w:rPr>
          <w:rFonts w:eastAsia="Batang" w:cs="Tahoma"/>
          <w:szCs w:val="19"/>
        </w:rPr>
      </w:pPr>
    </w:p>
    <w:p w14:paraId="021AC68C" w14:textId="38A2DCB9" w:rsidR="006611A2" w:rsidRPr="00BD63B0" w:rsidRDefault="006611A2" w:rsidP="006611A2">
      <w:pPr>
        <w:tabs>
          <w:tab w:val="left" w:pos="0"/>
          <w:tab w:val="left" w:pos="851"/>
        </w:tabs>
        <w:rPr>
          <w:rFonts w:eastAsia="Batang" w:cs="Arial"/>
          <w:bCs/>
          <w:szCs w:val="19"/>
        </w:rPr>
      </w:pPr>
      <w:r w:rsidRPr="00BD63B0">
        <w:rPr>
          <w:rFonts w:eastAsia="Batang"/>
          <w:szCs w:val="19"/>
        </w:rPr>
        <w:t xml:space="preserve">Podíl Nájemce na celkových skutečných ročních nákladech </w:t>
      </w:r>
      <w:r w:rsidR="00423EC9">
        <w:rPr>
          <w:rFonts w:eastAsia="Batang"/>
          <w:szCs w:val="19"/>
        </w:rPr>
        <w:t>Kancelářské části Budovy</w:t>
      </w:r>
      <w:r w:rsidR="00423EC9" w:rsidRPr="00BD63B0">
        <w:rPr>
          <w:rFonts w:eastAsia="Batang"/>
          <w:szCs w:val="19"/>
        </w:rPr>
        <w:t xml:space="preserve"> na </w:t>
      </w:r>
      <w:r w:rsidR="00423EC9" w:rsidRPr="00BD63B0">
        <w:rPr>
          <w:rFonts w:eastAsia="Batang" w:cs="Arial"/>
          <w:szCs w:val="19"/>
        </w:rPr>
        <w:t>Službu</w:t>
      </w:r>
      <w:r w:rsidR="00423EC9" w:rsidRPr="00BD63B0">
        <w:rPr>
          <w:rFonts w:eastAsia="Batang"/>
          <w:szCs w:val="19"/>
        </w:rPr>
        <w:t xml:space="preserve"> </w:t>
      </w:r>
      <w:r w:rsidRPr="00BD63B0">
        <w:rPr>
          <w:rFonts w:eastAsia="Batang" w:cs="Arial"/>
          <w:szCs w:val="19"/>
        </w:rPr>
        <w:t>(ponížených dle předchozího odstavce) (dále jen „</w:t>
      </w:r>
      <w:r w:rsidRPr="00BD63B0">
        <w:rPr>
          <w:rFonts w:cs="Tahoma"/>
          <w:b/>
          <w:szCs w:val="19"/>
        </w:rPr>
        <w:t>Poměrný podíl Nájemce</w:t>
      </w:r>
      <w:r w:rsidRPr="00BD63B0">
        <w:rPr>
          <w:rFonts w:cs="Tahoma"/>
          <w:szCs w:val="19"/>
        </w:rPr>
        <w:t>“)</w:t>
      </w:r>
      <w:r w:rsidRPr="00BD63B0">
        <w:rPr>
          <w:rFonts w:eastAsia="Batang" w:cs="Arial"/>
          <w:szCs w:val="19"/>
        </w:rPr>
        <w:t xml:space="preserve"> </w:t>
      </w:r>
      <w:r w:rsidRPr="00BD63B0">
        <w:rPr>
          <w:rFonts w:eastAsia="Batang"/>
          <w:szCs w:val="19"/>
        </w:rPr>
        <w:t>pak</w:t>
      </w:r>
      <w:r w:rsidRPr="00BD63B0">
        <w:rPr>
          <w:rFonts w:eastAsia="Batang" w:cs="Arial"/>
          <w:szCs w:val="19"/>
        </w:rPr>
        <w:t xml:space="preserve"> bude, vždy v daném čase, určen jako procentní </w:t>
      </w:r>
      <w:r w:rsidRPr="00BD63B0">
        <w:rPr>
          <w:rFonts w:eastAsia="Batang"/>
          <w:szCs w:val="19"/>
        </w:rPr>
        <w:t>podíl vypočtený k</w:t>
      </w:r>
      <w:r w:rsidRPr="00BD63B0">
        <w:rPr>
          <w:rFonts w:eastAsia="Batang" w:cs="Arial"/>
          <w:szCs w:val="19"/>
        </w:rPr>
        <w:t xml:space="preserve">e kterémukoliv dni </w:t>
      </w:r>
      <w:r w:rsidRPr="00BD63B0">
        <w:rPr>
          <w:rFonts w:eastAsia="Batang"/>
          <w:szCs w:val="19"/>
        </w:rPr>
        <w:t xml:space="preserve">jako poměr </w:t>
      </w:r>
      <w:r w:rsidRPr="00BD63B0">
        <w:rPr>
          <w:rFonts w:eastAsia="Batang" w:cs="Arial"/>
          <w:szCs w:val="19"/>
        </w:rPr>
        <w:t xml:space="preserve">(vyjádřený </w:t>
      </w:r>
      <w:r w:rsidRPr="00BD63B0">
        <w:rPr>
          <w:rFonts w:eastAsia="Batang" w:cs="Arial"/>
          <w:szCs w:val="19"/>
        </w:rPr>
        <w:lastRenderedPageBreak/>
        <w:t>procentem) mezi (i)</w:t>
      </w:r>
      <w:r w:rsidRPr="00BD63B0">
        <w:rPr>
          <w:rFonts w:eastAsia="Batang"/>
          <w:szCs w:val="19"/>
        </w:rPr>
        <w:t xml:space="preserve"> Kalkulační </w:t>
      </w:r>
      <w:r w:rsidRPr="00C428C2">
        <w:rPr>
          <w:rFonts w:eastAsia="Batang" w:cs="Arial"/>
          <w:szCs w:val="19"/>
        </w:rPr>
        <w:t>plochou</w:t>
      </w:r>
      <w:r w:rsidRPr="00C428C2">
        <w:rPr>
          <w:rFonts w:eastAsia="Batang"/>
          <w:szCs w:val="19"/>
        </w:rPr>
        <w:t xml:space="preserve"> Prostor </w:t>
      </w:r>
      <w:r w:rsidRPr="00C428C2">
        <w:rPr>
          <w:rFonts w:eastAsia="Batang" w:cs="Arial"/>
          <w:szCs w:val="19"/>
        </w:rPr>
        <w:t xml:space="preserve">a (ii) </w:t>
      </w:r>
      <w:r w:rsidR="001C4F1B" w:rsidRPr="00C428C2">
        <w:rPr>
          <w:rFonts w:eastAsia="Batang" w:cs="Arial"/>
          <w:szCs w:val="19"/>
        </w:rPr>
        <w:t>součt</w:t>
      </w:r>
      <w:r w:rsidR="00090ABC">
        <w:rPr>
          <w:rFonts w:eastAsia="Batang" w:cs="Arial"/>
          <w:szCs w:val="19"/>
        </w:rPr>
        <w:t>em</w:t>
      </w:r>
      <w:r w:rsidR="001C4F1B" w:rsidRPr="00C428C2">
        <w:rPr>
          <w:rFonts w:eastAsia="Batang" w:cs="Arial"/>
          <w:szCs w:val="19"/>
        </w:rPr>
        <w:t xml:space="preserve"> </w:t>
      </w:r>
      <w:r w:rsidR="003D21E7">
        <w:rPr>
          <w:rFonts w:eastAsia="Batang" w:cs="Arial"/>
          <w:szCs w:val="19"/>
        </w:rPr>
        <w:t xml:space="preserve">(α) </w:t>
      </w:r>
      <w:r w:rsidR="001C4F1B" w:rsidRPr="00C428C2">
        <w:rPr>
          <w:rFonts w:eastAsia="Batang" w:cs="Arial"/>
          <w:szCs w:val="19"/>
        </w:rPr>
        <w:t>celkové</w:t>
      </w:r>
      <w:r w:rsidRPr="00C428C2">
        <w:rPr>
          <w:rFonts w:eastAsia="Batang" w:cs="Arial"/>
          <w:szCs w:val="19"/>
        </w:rPr>
        <w:t xml:space="preserve"> </w:t>
      </w:r>
      <w:r w:rsidR="001C4F1B" w:rsidRPr="00C428C2">
        <w:rPr>
          <w:rFonts w:eastAsia="Batang" w:cs="Arial"/>
          <w:szCs w:val="19"/>
        </w:rPr>
        <w:t>pronajímatelné</w:t>
      </w:r>
      <w:r w:rsidRPr="00C428C2">
        <w:rPr>
          <w:rFonts w:eastAsia="Batang" w:cs="Arial"/>
          <w:szCs w:val="19"/>
        </w:rPr>
        <w:t xml:space="preserve"> </w:t>
      </w:r>
      <w:r w:rsidR="00C428C2" w:rsidRPr="00C428C2">
        <w:rPr>
          <w:rFonts w:eastAsia="Batang" w:cs="Arial"/>
          <w:szCs w:val="19"/>
        </w:rPr>
        <w:t xml:space="preserve">kancelářské </w:t>
      </w:r>
      <w:r w:rsidRPr="00C428C2">
        <w:rPr>
          <w:rFonts w:eastAsia="Batang" w:cs="Arial"/>
          <w:szCs w:val="19"/>
        </w:rPr>
        <w:t>ploch</w:t>
      </w:r>
      <w:r w:rsidR="001C4F1B" w:rsidRPr="00C428C2">
        <w:rPr>
          <w:rFonts w:eastAsia="Batang" w:cs="Arial"/>
          <w:szCs w:val="19"/>
        </w:rPr>
        <w:t>y</w:t>
      </w:r>
      <w:r w:rsidR="001210BB">
        <w:rPr>
          <w:rFonts w:eastAsia="Batang" w:cs="Arial"/>
          <w:szCs w:val="19"/>
        </w:rPr>
        <w:t xml:space="preserve"> Kancelářské části</w:t>
      </w:r>
      <w:r w:rsidRPr="00C428C2">
        <w:rPr>
          <w:rFonts w:eastAsia="Batang"/>
          <w:szCs w:val="19"/>
        </w:rPr>
        <w:t xml:space="preserve"> </w:t>
      </w:r>
      <w:r w:rsidR="001C4F1B" w:rsidRPr="00C428C2">
        <w:rPr>
          <w:rFonts w:eastAsia="Batang"/>
          <w:szCs w:val="19"/>
        </w:rPr>
        <w:t>Budovy</w:t>
      </w:r>
      <w:r w:rsidR="003D21E7">
        <w:rPr>
          <w:rFonts w:eastAsia="Batang"/>
          <w:szCs w:val="19"/>
        </w:rPr>
        <w:t xml:space="preserve">, (β) celkové jiné pronajímatelné plochy Budovy, která se má dle rozhodnutí Pronajímatele poměrně podílet na celkových skutečných ročních nákladech </w:t>
      </w:r>
      <w:r w:rsidR="00FB67F4">
        <w:rPr>
          <w:rFonts w:eastAsia="Batang"/>
          <w:szCs w:val="19"/>
        </w:rPr>
        <w:t xml:space="preserve">Kancelářské části </w:t>
      </w:r>
      <w:r w:rsidR="003D21E7">
        <w:rPr>
          <w:rFonts w:eastAsia="Batang"/>
          <w:szCs w:val="19"/>
        </w:rPr>
        <w:t>Budovy na Službu obdobně jako kancelářské plochy,</w:t>
      </w:r>
      <w:r w:rsidR="001C4F1B" w:rsidRPr="00C428C2">
        <w:rPr>
          <w:rFonts w:eastAsia="Batang"/>
          <w:szCs w:val="19"/>
        </w:rPr>
        <w:t xml:space="preserve"> a </w:t>
      </w:r>
      <w:r w:rsidR="003D21E7">
        <w:rPr>
          <w:rFonts w:eastAsia="Batang"/>
          <w:szCs w:val="19"/>
        </w:rPr>
        <w:t xml:space="preserve">(γ) </w:t>
      </w:r>
      <w:r w:rsidR="001C4F1B" w:rsidRPr="00C428C2">
        <w:rPr>
          <w:rFonts w:eastAsia="Batang"/>
          <w:szCs w:val="19"/>
        </w:rPr>
        <w:t xml:space="preserve">Společných prostor </w:t>
      </w:r>
      <w:r w:rsidR="001210BB">
        <w:rPr>
          <w:rFonts w:eastAsia="Batang"/>
          <w:szCs w:val="19"/>
        </w:rPr>
        <w:t>v K</w:t>
      </w:r>
      <w:r w:rsidR="00C428C2" w:rsidRPr="00C428C2">
        <w:rPr>
          <w:rFonts w:eastAsia="Batang"/>
          <w:szCs w:val="19"/>
        </w:rPr>
        <w:t xml:space="preserve">ancelářské části </w:t>
      </w:r>
      <w:r w:rsidR="001C4F1B" w:rsidRPr="00C428C2">
        <w:rPr>
          <w:rFonts w:eastAsia="Batang"/>
          <w:szCs w:val="19"/>
        </w:rPr>
        <w:t>Budovy</w:t>
      </w:r>
      <w:r w:rsidRPr="00C428C2">
        <w:rPr>
          <w:rFonts w:eastAsia="Batang" w:cs="Arial"/>
          <w:bCs/>
          <w:szCs w:val="19"/>
        </w:rPr>
        <w:t>.</w:t>
      </w:r>
    </w:p>
    <w:p w14:paraId="583F9A3C" w14:textId="77777777" w:rsidR="006611A2" w:rsidRPr="00BD63B0" w:rsidRDefault="006611A2" w:rsidP="006611A2">
      <w:pPr>
        <w:tabs>
          <w:tab w:val="left" w:pos="0"/>
          <w:tab w:val="left" w:pos="851"/>
        </w:tabs>
        <w:rPr>
          <w:rFonts w:eastAsia="Batang" w:cs="Arial"/>
          <w:bCs/>
          <w:szCs w:val="19"/>
        </w:rPr>
      </w:pPr>
    </w:p>
    <w:p w14:paraId="1B0CE48A" w14:textId="4859BE12" w:rsidR="006611A2" w:rsidRPr="00BD63B0" w:rsidRDefault="006611A2" w:rsidP="006611A2">
      <w:pPr>
        <w:tabs>
          <w:tab w:val="left" w:pos="0"/>
          <w:tab w:val="left" w:pos="851"/>
        </w:tabs>
        <w:rPr>
          <w:rFonts w:cs="Arial"/>
          <w:iCs/>
          <w:szCs w:val="19"/>
        </w:rPr>
      </w:pPr>
      <w:r w:rsidRPr="00BD63B0">
        <w:rPr>
          <w:rFonts w:eastAsia="Batang" w:cs="Arial"/>
          <w:szCs w:val="19"/>
        </w:rPr>
        <w:t>Celková prona</w:t>
      </w:r>
      <w:r w:rsidR="001C4F1B">
        <w:rPr>
          <w:rFonts w:eastAsia="Batang" w:cs="Arial"/>
          <w:szCs w:val="19"/>
        </w:rPr>
        <w:t xml:space="preserve">jímatelná </w:t>
      </w:r>
      <w:r w:rsidR="00C428C2">
        <w:rPr>
          <w:rFonts w:eastAsia="Batang" w:cs="Arial"/>
          <w:szCs w:val="19"/>
        </w:rPr>
        <w:t xml:space="preserve">kancelářská </w:t>
      </w:r>
      <w:r w:rsidRPr="00BD63B0">
        <w:rPr>
          <w:rFonts w:eastAsia="Batang" w:cs="Arial"/>
          <w:szCs w:val="19"/>
        </w:rPr>
        <w:t xml:space="preserve">plocha </w:t>
      </w:r>
      <w:r w:rsidR="001210BB">
        <w:rPr>
          <w:rFonts w:eastAsia="Batang" w:cs="Arial"/>
          <w:szCs w:val="19"/>
        </w:rPr>
        <w:t xml:space="preserve">Kancelářské části </w:t>
      </w:r>
      <w:r w:rsidR="00C428C2">
        <w:rPr>
          <w:rFonts w:eastAsia="Batang" w:cs="Arial"/>
          <w:szCs w:val="19"/>
        </w:rPr>
        <w:t>Budovy</w:t>
      </w:r>
      <w:r w:rsidRPr="00BD63B0">
        <w:rPr>
          <w:rFonts w:eastAsia="Batang" w:cs="Arial"/>
          <w:szCs w:val="19"/>
        </w:rPr>
        <w:t xml:space="preserve"> </w:t>
      </w:r>
      <w:r w:rsidRPr="00BD63B0">
        <w:rPr>
          <w:rFonts w:eastAsia="Batang" w:cs="Arial"/>
          <w:bCs/>
          <w:szCs w:val="19"/>
        </w:rPr>
        <w:t xml:space="preserve">pro účely této přílohy znamená </w:t>
      </w:r>
      <w:r w:rsidRPr="00BD63B0">
        <w:rPr>
          <w:rFonts w:cs="Arial"/>
          <w:szCs w:val="19"/>
        </w:rPr>
        <w:t xml:space="preserve">součet </w:t>
      </w:r>
      <w:r w:rsidR="001C4F1B">
        <w:rPr>
          <w:rFonts w:cs="Arial"/>
          <w:szCs w:val="19"/>
        </w:rPr>
        <w:t>všech</w:t>
      </w:r>
      <w:r w:rsidRPr="00BD63B0">
        <w:rPr>
          <w:rFonts w:cs="Arial"/>
          <w:szCs w:val="19"/>
        </w:rPr>
        <w:t> prostor v</w:t>
      </w:r>
      <w:r w:rsidR="001210BB">
        <w:rPr>
          <w:rFonts w:cs="Arial"/>
          <w:szCs w:val="19"/>
        </w:rPr>
        <w:t> Kancelářské části</w:t>
      </w:r>
      <w:r w:rsidRPr="00BD63B0">
        <w:rPr>
          <w:rFonts w:cs="Arial"/>
          <w:szCs w:val="19"/>
        </w:rPr>
        <w:t> </w:t>
      </w:r>
      <w:r w:rsidR="001210BB">
        <w:rPr>
          <w:rFonts w:cs="Arial"/>
          <w:szCs w:val="19"/>
        </w:rPr>
        <w:t>Budovy</w:t>
      </w:r>
      <w:r w:rsidR="001C4F1B">
        <w:rPr>
          <w:rFonts w:cs="Arial"/>
          <w:szCs w:val="19"/>
        </w:rPr>
        <w:t xml:space="preserve"> určených Pronajímatelem k</w:t>
      </w:r>
      <w:r w:rsidR="0094015B">
        <w:rPr>
          <w:rFonts w:cs="Arial"/>
          <w:szCs w:val="19"/>
        </w:rPr>
        <w:t> </w:t>
      </w:r>
      <w:r w:rsidR="001C4F1B">
        <w:rPr>
          <w:rFonts w:cs="Arial"/>
          <w:szCs w:val="19"/>
        </w:rPr>
        <w:t>pronájmu</w:t>
      </w:r>
      <w:r w:rsidR="0094015B">
        <w:rPr>
          <w:rFonts w:cs="Arial"/>
          <w:szCs w:val="19"/>
        </w:rPr>
        <w:t xml:space="preserve"> ke kancelářským nebo souvisejícím účelům (bez teras).</w:t>
      </w:r>
    </w:p>
    <w:p w14:paraId="58A84C76" w14:textId="77777777" w:rsidR="006611A2" w:rsidRPr="00BD63B0" w:rsidRDefault="006611A2" w:rsidP="006611A2">
      <w:pPr>
        <w:rPr>
          <w:rFonts w:cs="Arial"/>
          <w:szCs w:val="19"/>
        </w:rPr>
      </w:pPr>
    </w:p>
    <w:p w14:paraId="4B8A2BE6" w14:textId="77777777" w:rsidR="006611A2" w:rsidRPr="00BD63B0" w:rsidRDefault="006611A2" w:rsidP="006611A2">
      <w:pPr>
        <w:rPr>
          <w:rFonts w:cs="Arial"/>
          <w:szCs w:val="19"/>
        </w:rPr>
      </w:pPr>
      <w:r w:rsidRPr="00BD63B0">
        <w:rPr>
          <w:rFonts w:cs="Tahoma"/>
          <w:szCs w:val="19"/>
        </w:rPr>
        <w:t>Předpokládaný Poměrný podíl Nájemce </w:t>
      </w:r>
      <w:r w:rsidRPr="00BD63B0">
        <w:rPr>
          <w:rFonts w:cs="Arial"/>
          <w:szCs w:val="19"/>
        </w:rPr>
        <w:t>ke Dni zahájení činí [</w:t>
      </w:r>
      <w:r w:rsidRPr="00BD63B0">
        <w:rPr>
          <w:rFonts w:cs="Arial"/>
          <w:szCs w:val="19"/>
          <w:highlight w:val="cyan"/>
        </w:rPr>
        <w:t>●</w:t>
      </w:r>
      <w:r w:rsidRPr="00BD63B0">
        <w:rPr>
          <w:rFonts w:cs="Arial"/>
          <w:szCs w:val="19"/>
        </w:rPr>
        <w:t>] %;</w:t>
      </w:r>
      <w:r w:rsidRPr="00BD63B0">
        <w:rPr>
          <w:rFonts w:cs="Tahoma"/>
          <w:szCs w:val="19"/>
        </w:rPr>
        <w:t xml:space="preserve"> Pronajímatel Nájemci kdykoli na jeho žádost sdělí aktuální Poměrný podíl Nájemce.</w:t>
      </w:r>
    </w:p>
    <w:p w14:paraId="0EC2F904" w14:textId="77777777" w:rsidR="006611A2" w:rsidRPr="00BD63B0" w:rsidRDefault="006611A2" w:rsidP="006611A2">
      <w:pPr>
        <w:rPr>
          <w:rFonts w:cs="Arial"/>
          <w:szCs w:val="19"/>
        </w:rPr>
      </w:pPr>
    </w:p>
    <w:p w14:paraId="68D7B57D" w14:textId="2F393D58" w:rsidR="006611A2" w:rsidRPr="00BD63B0" w:rsidRDefault="006611A2" w:rsidP="006611A2">
      <w:pPr>
        <w:rPr>
          <w:rFonts w:cs="Arial"/>
          <w:szCs w:val="19"/>
        </w:rPr>
      </w:pPr>
      <w:r w:rsidRPr="00BD63B0">
        <w:rPr>
          <w:rFonts w:cs="Arial"/>
          <w:szCs w:val="19"/>
        </w:rPr>
        <w:t>V případě, že se Kalkulační plocha Prostor nebo celková pronaj</w:t>
      </w:r>
      <w:r w:rsidR="003D21E7">
        <w:rPr>
          <w:rFonts w:cs="Arial"/>
          <w:szCs w:val="19"/>
        </w:rPr>
        <w:t>ímatelná</w:t>
      </w:r>
      <w:r w:rsidRPr="00BD63B0">
        <w:rPr>
          <w:rFonts w:cs="Arial"/>
          <w:szCs w:val="19"/>
        </w:rPr>
        <w:t xml:space="preserve"> </w:t>
      </w:r>
      <w:r w:rsidR="003D21E7">
        <w:rPr>
          <w:rFonts w:cs="Arial"/>
          <w:szCs w:val="19"/>
        </w:rPr>
        <w:t xml:space="preserve">kancelářská či jiná relevantní pronajímatelná </w:t>
      </w:r>
      <w:r w:rsidRPr="00BD63B0">
        <w:rPr>
          <w:rFonts w:cs="Arial"/>
          <w:szCs w:val="19"/>
        </w:rPr>
        <w:t xml:space="preserve">plocha </w:t>
      </w:r>
      <w:r w:rsidR="001210BB">
        <w:rPr>
          <w:rFonts w:cs="Arial"/>
          <w:szCs w:val="19"/>
        </w:rPr>
        <w:t>Budovy</w:t>
      </w:r>
      <w:r w:rsidRPr="00BD63B0">
        <w:rPr>
          <w:rFonts w:cs="Arial"/>
          <w:szCs w:val="19"/>
        </w:rPr>
        <w:t xml:space="preserve"> změní během období, pro které se Poměrný podíl Nájemce počítá, bude Poměrný podíl Nájemce určen váženým průměrem poměrů (vyjádřených zlomky) platných v průběhu daného období, přičemž vážený průměr bude založen na počtu dnů, po které byl každý příslušný poměr platný během takového období; výsledný poměr (zlomek) bude vyjádřen procentem.</w:t>
      </w:r>
    </w:p>
    <w:p w14:paraId="365A6E9A" w14:textId="77777777" w:rsidR="006611A2" w:rsidRPr="00BD63B0" w:rsidRDefault="006611A2" w:rsidP="006611A2">
      <w:pPr>
        <w:rPr>
          <w:rFonts w:cs="Arial"/>
          <w:szCs w:val="19"/>
        </w:rPr>
      </w:pPr>
    </w:p>
    <w:p w14:paraId="4651DCE4" w14:textId="77777777" w:rsidR="006611A2" w:rsidRPr="00BD63B0" w:rsidRDefault="006611A2" w:rsidP="006611A2">
      <w:pPr>
        <w:rPr>
          <w:rFonts w:cs="Arial"/>
          <w:szCs w:val="19"/>
        </w:rPr>
      </w:pPr>
      <w:r w:rsidRPr="00BD63B0">
        <w:rPr>
          <w:rFonts w:cs="Arial"/>
          <w:szCs w:val="19"/>
        </w:rPr>
        <w:t xml:space="preserve">V případě, že Nájem bude trvat jen po část období, pro které se Poměrný podíl Nájemce počítá, bude Poměrný podíl Nájemce určen součinem procenta vypočteného na základě předchozích odstavců této definice a zlomku, jehož čitatel je tvořen počtem dnů období, po které Nájem trval, a jmenovatel je tvořen celkovým počtem dní takového období (např. pokud je tímto obdobím kalendářní rok a Nájem vznikl až 1. října, odpovídá zlomek 92/365). </w:t>
      </w:r>
    </w:p>
    <w:p w14:paraId="4D93F397" w14:textId="77777777" w:rsidR="006611A2" w:rsidRPr="00BD63B0" w:rsidRDefault="006611A2" w:rsidP="006611A2">
      <w:pPr>
        <w:rPr>
          <w:rFonts w:cs="Arial"/>
          <w:szCs w:val="19"/>
          <w:u w:val="single"/>
        </w:rPr>
      </w:pPr>
    </w:p>
    <w:p w14:paraId="3FF4BCC0" w14:textId="77777777" w:rsidR="006611A2" w:rsidRPr="00BD63B0" w:rsidRDefault="006611A2" w:rsidP="006611A2">
      <w:pPr>
        <w:tabs>
          <w:tab w:val="left" w:pos="0"/>
          <w:tab w:val="left" w:pos="851"/>
        </w:tabs>
        <w:rPr>
          <w:rFonts w:cs="Arial"/>
          <w:szCs w:val="19"/>
          <w:u w:val="single"/>
        </w:rPr>
      </w:pPr>
      <w:r w:rsidRPr="00BD63B0">
        <w:rPr>
          <w:rFonts w:cs="Arial"/>
          <w:szCs w:val="19"/>
          <w:u w:val="single"/>
        </w:rPr>
        <w:t>Média a náklady na Média</w:t>
      </w:r>
      <w:bookmarkStart w:id="1" w:name="_GoBack"/>
      <w:bookmarkEnd w:id="1"/>
    </w:p>
    <w:p w14:paraId="2AF9E3DF" w14:textId="77777777" w:rsidR="006611A2" w:rsidRPr="00BD63B0" w:rsidRDefault="006611A2" w:rsidP="006611A2">
      <w:pPr>
        <w:tabs>
          <w:tab w:val="left" w:pos="0"/>
          <w:tab w:val="left" w:pos="851"/>
        </w:tabs>
        <w:rPr>
          <w:rFonts w:cs="Arial"/>
          <w:szCs w:val="19"/>
        </w:rPr>
      </w:pPr>
    </w:p>
    <w:p w14:paraId="4FA7BED9" w14:textId="77777777" w:rsidR="006611A2" w:rsidRPr="00BD63B0" w:rsidRDefault="006611A2" w:rsidP="006611A2">
      <w:pPr>
        <w:tabs>
          <w:tab w:val="left" w:pos="0"/>
          <w:tab w:val="left" w:pos="851"/>
        </w:tabs>
        <w:rPr>
          <w:rFonts w:cs="Arial"/>
          <w:szCs w:val="19"/>
        </w:rPr>
      </w:pPr>
      <w:r w:rsidRPr="00BD63B0">
        <w:rPr>
          <w:rFonts w:cs="Arial"/>
          <w:szCs w:val="19"/>
        </w:rPr>
        <w:t xml:space="preserve">Výše uvedená Služba nezahrnuje Média, tj. následující média a služby poskytované v souvislosti s konkrétními prostorami pronajatými nájemcům, které jsou pro jednotlivé prostory měřeny nebo vypočítávány odděleně a jsou placeny přímo příslušným nájemcem </w:t>
      </w:r>
      <w:r w:rsidRPr="00BD63B0">
        <w:rPr>
          <w:rFonts w:eastAsia="Calibri"/>
          <w:szCs w:val="19"/>
        </w:rPr>
        <w:t>příslušnému dodavateli nebo poskytovateli nebo Pronajímateli na základě přefakturace</w:t>
      </w:r>
      <w:r w:rsidRPr="00BD63B0">
        <w:rPr>
          <w:rFonts w:cs="Arial"/>
          <w:szCs w:val="19"/>
        </w:rPr>
        <w:t>, a to:</w:t>
      </w:r>
    </w:p>
    <w:p w14:paraId="715166B1" w14:textId="77777777" w:rsidR="006611A2" w:rsidRPr="00BD63B0" w:rsidRDefault="006611A2" w:rsidP="006611A2">
      <w:pPr>
        <w:tabs>
          <w:tab w:val="left" w:pos="0"/>
          <w:tab w:val="left" w:pos="851"/>
        </w:tabs>
        <w:rPr>
          <w:rFonts w:cs="Arial"/>
          <w:szCs w:val="19"/>
        </w:rPr>
      </w:pPr>
    </w:p>
    <w:p w14:paraId="5ADD88AA" w14:textId="77777777" w:rsidR="006611A2" w:rsidRPr="00BD63B0" w:rsidRDefault="006611A2" w:rsidP="006611A2">
      <w:pPr>
        <w:numPr>
          <w:ilvl w:val="0"/>
          <w:numId w:val="1"/>
        </w:numPr>
        <w:tabs>
          <w:tab w:val="left" w:pos="0"/>
          <w:tab w:val="left" w:pos="709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>elektrická energie – pro prostory měřena odděleně (samostatně);</w:t>
      </w:r>
    </w:p>
    <w:p w14:paraId="7FD0BF0A" w14:textId="77777777" w:rsidR="006611A2" w:rsidRPr="00BD63B0" w:rsidRDefault="006611A2" w:rsidP="006611A2">
      <w:pPr>
        <w:tabs>
          <w:tab w:val="left" w:pos="0"/>
          <w:tab w:val="left" w:pos="709"/>
        </w:tabs>
        <w:ind w:left="709"/>
        <w:rPr>
          <w:rFonts w:cs="Arial"/>
          <w:szCs w:val="19"/>
        </w:rPr>
      </w:pPr>
    </w:p>
    <w:p w14:paraId="063DE84F" w14:textId="77777777" w:rsidR="006611A2" w:rsidRPr="00BD63B0" w:rsidRDefault="006611A2" w:rsidP="006611A2">
      <w:pPr>
        <w:numPr>
          <w:ilvl w:val="0"/>
          <w:numId w:val="1"/>
        </w:numPr>
        <w:tabs>
          <w:tab w:val="left" w:pos="0"/>
          <w:tab w:val="left" w:pos="709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 xml:space="preserve">voda a odvod odpadní vody – pro prostory měřeny odděleně (samostatně); </w:t>
      </w:r>
    </w:p>
    <w:p w14:paraId="1005D3FA" w14:textId="77777777" w:rsidR="006611A2" w:rsidRPr="00BD63B0" w:rsidRDefault="006611A2" w:rsidP="006611A2">
      <w:pPr>
        <w:tabs>
          <w:tab w:val="left" w:pos="0"/>
          <w:tab w:val="left" w:pos="709"/>
        </w:tabs>
        <w:ind w:left="709"/>
        <w:rPr>
          <w:rFonts w:cs="Arial"/>
          <w:szCs w:val="19"/>
        </w:rPr>
      </w:pPr>
    </w:p>
    <w:p w14:paraId="4AA1D6EA" w14:textId="77777777" w:rsidR="006611A2" w:rsidRPr="00BD63B0" w:rsidRDefault="006611A2" w:rsidP="006611A2">
      <w:pPr>
        <w:numPr>
          <w:ilvl w:val="0"/>
          <w:numId w:val="1"/>
        </w:numPr>
        <w:tabs>
          <w:tab w:val="left" w:pos="0"/>
          <w:tab w:val="left" w:pos="709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>plyn (u vybraných prostor) – měřen odděleně (samostatně);</w:t>
      </w:r>
    </w:p>
    <w:p w14:paraId="3DBEB895" w14:textId="77777777" w:rsidR="006611A2" w:rsidRPr="00BD63B0" w:rsidRDefault="006611A2" w:rsidP="006611A2">
      <w:pPr>
        <w:tabs>
          <w:tab w:val="left" w:pos="0"/>
          <w:tab w:val="left" w:pos="709"/>
        </w:tabs>
        <w:ind w:left="709"/>
        <w:rPr>
          <w:rFonts w:cs="Arial"/>
          <w:szCs w:val="19"/>
        </w:rPr>
      </w:pPr>
    </w:p>
    <w:p w14:paraId="58BC0358" w14:textId="77777777" w:rsidR="006611A2" w:rsidRPr="00BD63B0" w:rsidRDefault="006611A2" w:rsidP="006611A2">
      <w:pPr>
        <w:numPr>
          <w:ilvl w:val="0"/>
          <w:numId w:val="1"/>
        </w:numPr>
        <w:tabs>
          <w:tab w:val="left" w:pos="0"/>
          <w:tab w:val="left" w:pos="709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>náklady na teplo (včetně chladu) –</w:t>
      </w:r>
      <w:r w:rsidRPr="00BD63B0">
        <w:rPr>
          <w:rFonts w:eastAsia="Batang"/>
          <w:szCs w:val="19"/>
        </w:rPr>
        <w:t xml:space="preserve"> vzhledem k tomu, že pro některé části </w:t>
      </w:r>
      <w:r w:rsidR="001C4F1B">
        <w:rPr>
          <w:rFonts w:eastAsia="Batang"/>
          <w:szCs w:val="19"/>
        </w:rPr>
        <w:t>Kanceláří</w:t>
      </w:r>
      <w:r w:rsidRPr="00BD63B0">
        <w:rPr>
          <w:rFonts w:eastAsia="Batang"/>
          <w:szCs w:val="19"/>
        </w:rPr>
        <w:t xml:space="preserve"> Dornych určené Pronajímatelem jsou instalovány nebo mohou být v budoucnu instalovány Pronajímatelem nebo po dohodě s Pronajímatelem příslušným nájemcem měřidla (kalorimetry a/nebo elektroměry apod.), přičemž takto určená část může být tvořena např. prostory, které si najímá jeden nebo více nájemců nebo pouze částí prostor najímaných jedním nebo více nájemci, pak:</w:t>
      </w:r>
    </w:p>
    <w:p w14:paraId="3FD9314B" w14:textId="77777777" w:rsidR="006611A2" w:rsidRPr="00BD63B0" w:rsidRDefault="006611A2" w:rsidP="006611A2">
      <w:pPr>
        <w:tabs>
          <w:tab w:val="left" w:pos="0"/>
          <w:tab w:val="left" w:pos="709"/>
        </w:tabs>
        <w:rPr>
          <w:rFonts w:cs="Arial"/>
          <w:szCs w:val="19"/>
        </w:rPr>
      </w:pPr>
    </w:p>
    <w:p w14:paraId="0A44DA6C" w14:textId="77777777" w:rsidR="006611A2" w:rsidRPr="00BD63B0" w:rsidRDefault="006611A2" w:rsidP="006611A2">
      <w:pPr>
        <w:numPr>
          <w:ilvl w:val="0"/>
          <w:numId w:val="3"/>
        </w:numPr>
        <w:ind w:left="1418" w:hanging="709"/>
        <w:contextualSpacing/>
        <w:rPr>
          <w:rFonts w:eastAsia="Batang"/>
          <w:szCs w:val="19"/>
        </w:rPr>
      </w:pPr>
      <w:r w:rsidRPr="00BD63B0">
        <w:rPr>
          <w:rFonts w:eastAsia="Batang"/>
          <w:szCs w:val="19"/>
        </w:rPr>
        <w:t xml:space="preserve">pokud se jedná o Pronajímatelem určenou část </w:t>
      </w:r>
      <w:r w:rsidR="001C4F1B">
        <w:rPr>
          <w:rFonts w:eastAsia="Batang"/>
          <w:szCs w:val="19"/>
        </w:rPr>
        <w:t>Kanceláří</w:t>
      </w:r>
      <w:r w:rsidRPr="00BD63B0">
        <w:rPr>
          <w:rFonts w:eastAsia="Batang"/>
          <w:szCs w:val="19"/>
        </w:rPr>
        <w:t xml:space="preserve"> Dornych, pro niž žádný z nájemců nemá měřidlo instalované pro jím najímané prostory, tak příslušný Nájemce, který má prostory v takové části </w:t>
      </w:r>
      <w:r w:rsidR="001C4F1B">
        <w:rPr>
          <w:rFonts w:eastAsia="Batang"/>
          <w:szCs w:val="19"/>
        </w:rPr>
        <w:t>Kanceláří</w:t>
      </w:r>
      <w:r w:rsidRPr="00BD63B0">
        <w:rPr>
          <w:rFonts w:eastAsia="Batang"/>
          <w:szCs w:val="19"/>
        </w:rPr>
        <w:t xml:space="preserve"> Dornych, ponese náklad na</w:t>
      </w:r>
      <w:r>
        <w:rPr>
          <w:rFonts w:eastAsia="Batang"/>
          <w:szCs w:val="19"/>
        </w:rPr>
        <w:t> </w:t>
      </w:r>
      <w:r w:rsidRPr="00BD63B0">
        <w:rPr>
          <w:rFonts w:eastAsia="Batang"/>
          <w:szCs w:val="19"/>
        </w:rPr>
        <w:t xml:space="preserve">teplo v této části </w:t>
      </w:r>
      <w:r w:rsidR="001C4F1B">
        <w:rPr>
          <w:rFonts w:eastAsia="Batang"/>
          <w:szCs w:val="19"/>
        </w:rPr>
        <w:t>Kanceláří</w:t>
      </w:r>
      <w:r w:rsidRPr="00BD63B0">
        <w:rPr>
          <w:rFonts w:eastAsia="Batang"/>
          <w:szCs w:val="19"/>
        </w:rPr>
        <w:t xml:space="preserve"> Dornych v poměru plochy tímto nájemcem najímaných prostor v předmětné části </w:t>
      </w:r>
      <w:r w:rsidR="00A72E67">
        <w:rPr>
          <w:rFonts w:eastAsia="Batang"/>
          <w:szCs w:val="19"/>
        </w:rPr>
        <w:t>Kanceláří</w:t>
      </w:r>
      <w:r w:rsidR="00A72E67" w:rsidRPr="00BD63B0">
        <w:rPr>
          <w:rFonts w:eastAsia="Batang"/>
          <w:szCs w:val="19"/>
        </w:rPr>
        <w:t xml:space="preserve"> </w:t>
      </w:r>
      <w:r w:rsidRPr="00BD63B0">
        <w:rPr>
          <w:rFonts w:eastAsia="Batang"/>
          <w:szCs w:val="19"/>
        </w:rPr>
        <w:t xml:space="preserve">Dornych k součtu všech pronajatých ploch v předmětné části </w:t>
      </w:r>
      <w:r w:rsidR="00A72E67">
        <w:rPr>
          <w:rFonts w:eastAsia="Batang"/>
          <w:szCs w:val="19"/>
        </w:rPr>
        <w:t>Kanceláří</w:t>
      </w:r>
      <w:r w:rsidR="00A72E67" w:rsidRPr="00BD63B0">
        <w:rPr>
          <w:rFonts w:eastAsia="Batang"/>
          <w:szCs w:val="19"/>
        </w:rPr>
        <w:t xml:space="preserve"> </w:t>
      </w:r>
      <w:r w:rsidRPr="00BD63B0">
        <w:rPr>
          <w:rFonts w:eastAsia="Batang"/>
          <w:szCs w:val="19"/>
        </w:rPr>
        <w:t>Dornych;</w:t>
      </w:r>
    </w:p>
    <w:p w14:paraId="0E7C225A" w14:textId="77777777" w:rsidR="006611A2" w:rsidRPr="00BD63B0" w:rsidRDefault="006611A2" w:rsidP="006611A2">
      <w:pPr>
        <w:ind w:left="1418"/>
        <w:contextualSpacing/>
        <w:rPr>
          <w:rFonts w:eastAsia="Batang"/>
          <w:szCs w:val="19"/>
        </w:rPr>
      </w:pPr>
    </w:p>
    <w:p w14:paraId="4B3E8440" w14:textId="77777777" w:rsidR="006611A2" w:rsidRPr="00BD63B0" w:rsidRDefault="006611A2" w:rsidP="006611A2">
      <w:pPr>
        <w:numPr>
          <w:ilvl w:val="0"/>
          <w:numId w:val="3"/>
        </w:numPr>
        <w:ind w:left="1418" w:hanging="709"/>
        <w:contextualSpacing/>
        <w:rPr>
          <w:rFonts w:eastAsia="Batang"/>
          <w:szCs w:val="19"/>
        </w:rPr>
      </w:pPr>
      <w:r w:rsidRPr="00BD63B0">
        <w:rPr>
          <w:rFonts w:eastAsia="Batang"/>
          <w:szCs w:val="19"/>
        </w:rPr>
        <w:t xml:space="preserve">pokud se jedná o Pronajímatelem určenou část </w:t>
      </w:r>
      <w:r w:rsidR="00A72E67">
        <w:rPr>
          <w:rFonts w:eastAsia="Batang"/>
          <w:szCs w:val="19"/>
        </w:rPr>
        <w:t>Kanceláří</w:t>
      </w:r>
      <w:r w:rsidR="00A72E67" w:rsidRPr="00BD63B0">
        <w:rPr>
          <w:rFonts w:eastAsia="Batang"/>
          <w:szCs w:val="19"/>
        </w:rPr>
        <w:t xml:space="preserve"> </w:t>
      </w:r>
      <w:r w:rsidRPr="00BD63B0">
        <w:rPr>
          <w:rFonts w:eastAsia="Batang"/>
          <w:szCs w:val="19"/>
        </w:rPr>
        <w:t>Dornych, pro niž minimálně jeden z nájemců má měřidlo instalované pro jím najímané prostory, tak:</w:t>
      </w:r>
    </w:p>
    <w:p w14:paraId="386475E0" w14:textId="77777777" w:rsidR="006611A2" w:rsidRPr="00BD63B0" w:rsidRDefault="006611A2" w:rsidP="006611A2">
      <w:pPr>
        <w:ind w:left="720"/>
        <w:rPr>
          <w:rFonts w:eastAsia="Batang"/>
          <w:szCs w:val="19"/>
        </w:rPr>
      </w:pPr>
    </w:p>
    <w:p w14:paraId="010AD810" w14:textId="7DA9892B" w:rsidR="006611A2" w:rsidRPr="00BD63B0" w:rsidRDefault="006611A2" w:rsidP="006611A2">
      <w:pPr>
        <w:ind w:left="2123" w:hanging="705"/>
        <w:contextualSpacing/>
        <w:rPr>
          <w:rFonts w:eastAsia="Batang"/>
          <w:szCs w:val="19"/>
        </w:rPr>
      </w:pPr>
      <w:r w:rsidRPr="00BD63B0">
        <w:rPr>
          <w:rFonts w:eastAsia="Batang"/>
          <w:szCs w:val="19"/>
        </w:rPr>
        <w:t>(</w:t>
      </w:r>
      <w:r w:rsidRPr="00BD63B0">
        <w:rPr>
          <w:rFonts w:eastAsia="Malgun Gothic"/>
          <w:szCs w:val="19"/>
          <w:lang w:eastAsia="ko-KR"/>
        </w:rPr>
        <w:t>α)</w:t>
      </w:r>
      <w:r w:rsidRPr="00BD63B0">
        <w:rPr>
          <w:rFonts w:eastAsia="Malgun Gothic"/>
          <w:szCs w:val="19"/>
          <w:lang w:eastAsia="ko-KR"/>
        </w:rPr>
        <w:tab/>
      </w:r>
      <w:r w:rsidRPr="00BD63B0">
        <w:rPr>
          <w:rFonts w:eastAsia="Batang"/>
          <w:szCs w:val="19"/>
        </w:rPr>
        <w:t xml:space="preserve">nájemce s měřidlem instalovaným pro jím najímané prostory ponese náklad na teplo v předmětné určené části </w:t>
      </w:r>
      <w:r w:rsidR="00A72E67">
        <w:rPr>
          <w:rFonts w:eastAsia="Batang"/>
          <w:szCs w:val="19"/>
        </w:rPr>
        <w:t>Kanceláří</w:t>
      </w:r>
      <w:r w:rsidR="00A72E67" w:rsidRPr="00BD63B0">
        <w:rPr>
          <w:rFonts w:eastAsia="Batang"/>
          <w:szCs w:val="19"/>
        </w:rPr>
        <w:t xml:space="preserve"> </w:t>
      </w:r>
      <w:r w:rsidRPr="00BD63B0">
        <w:rPr>
          <w:rFonts w:eastAsia="Batang"/>
          <w:szCs w:val="19"/>
        </w:rPr>
        <w:t xml:space="preserve">Dornych dle spotřeby </w:t>
      </w:r>
      <w:r w:rsidRPr="00BD63B0">
        <w:rPr>
          <w:rFonts w:eastAsia="Batang"/>
          <w:szCs w:val="19"/>
        </w:rPr>
        <w:lastRenderedPageBreak/>
        <w:t xml:space="preserve">naměřené takovým měřidlem a dále případný podíl na nákladech na další teplo spotřebované v předmětné určené části </w:t>
      </w:r>
      <w:r w:rsidR="004C24C8">
        <w:rPr>
          <w:rFonts w:eastAsia="Batang"/>
          <w:szCs w:val="19"/>
        </w:rPr>
        <w:t>Kanceláří</w:t>
      </w:r>
      <w:r w:rsidRPr="00BD63B0">
        <w:rPr>
          <w:rFonts w:eastAsia="Batang"/>
          <w:szCs w:val="19"/>
        </w:rPr>
        <w:t xml:space="preserve"> Dornych dle dohody s Pronajímatelem;</w:t>
      </w:r>
    </w:p>
    <w:p w14:paraId="180F8E72" w14:textId="77777777" w:rsidR="006611A2" w:rsidRPr="00BD63B0" w:rsidRDefault="006611A2" w:rsidP="006611A2">
      <w:pPr>
        <w:ind w:left="2123" w:hanging="705"/>
        <w:contextualSpacing/>
        <w:rPr>
          <w:rFonts w:eastAsia="Batang"/>
          <w:szCs w:val="19"/>
        </w:rPr>
      </w:pPr>
    </w:p>
    <w:p w14:paraId="27D85A79" w14:textId="77777777" w:rsidR="006611A2" w:rsidRPr="00BD63B0" w:rsidRDefault="006611A2" w:rsidP="006611A2">
      <w:pPr>
        <w:ind w:left="2123" w:hanging="705"/>
        <w:contextualSpacing/>
        <w:rPr>
          <w:rFonts w:eastAsia="Batang"/>
          <w:szCs w:val="19"/>
        </w:rPr>
      </w:pPr>
      <w:r w:rsidRPr="00BD63B0">
        <w:rPr>
          <w:rFonts w:eastAsia="Calibri"/>
          <w:szCs w:val="19"/>
        </w:rPr>
        <w:t>(β)</w:t>
      </w:r>
      <w:r w:rsidRPr="00BD63B0">
        <w:rPr>
          <w:rFonts w:eastAsia="Calibri"/>
          <w:szCs w:val="19"/>
        </w:rPr>
        <w:tab/>
        <w:t xml:space="preserve">nájemce, který nemá </w:t>
      </w:r>
      <w:r w:rsidRPr="00BD63B0">
        <w:rPr>
          <w:rFonts w:eastAsia="Batang"/>
          <w:szCs w:val="19"/>
        </w:rPr>
        <w:t xml:space="preserve">instalované měřidlo pro jím najímané prostory, ponese náklad na teplo spotřebované v předmětné určené části </w:t>
      </w:r>
      <w:r w:rsidR="00A72E67">
        <w:rPr>
          <w:rFonts w:eastAsia="Batang"/>
          <w:szCs w:val="19"/>
        </w:rPr>
        <w:t>Kanceláří</w:t>
      </w:r>
      <w:r w:rsidR="00A72E67" w:rsidRPr="00BD63B0">
        <w:rPr>
          <w:rFonts w:eastAsia="Batang"/>
          <w:szCs w:val="19"/>
        </w:rPr>
        <w:t xml:space="preserve"> </w:t>
      </w:r>
      <w:r w:rsidRPr="00BD63B0">
        <w:rPr>
          <w:rFonts w:eastAsia="Batang"/>
          <w:szCs w:val="19"/>
        </w:rPr>
        <w:t xml:space="preserve">Dornych (přičemž od těchto nákladů na teplo budou nejdříve pro účely výpočtu odečteny náklady, které připadají na nájemce dle písm. (α) výše), a to v poměru plochy tímto nájemcem najímaných prostor vůči celkové pronajímatelné ploše v předmětné určené části </w:t>
      </w:r>
      <w:r w:rsidR="00A72E67">
        <w:rPr>
          <w:rFonts w:eastAsia="Batang"/>
          <w:szCs w:val="19"/>
        </w:rPr>
        <w:t>Kanceláří</w:t>
      </w:r>
      <w:r w:rsidR="00A72E67" w:rsidRPr="00BD63B0">
        <w:rPr>
          <w:rFonts w:eastAsia="Batang"/>
          <w:szCs w:val="19"/>
        </w:rPr>
        <w:t xml:space="preserve"> </w:t>
      </w:r>
      <w:r w:rsidRPr="00BD63B0">
        <w:rPr>
          <w:rFonts w:eastAsia="Batang"/>
          <w:szCs w:val="19"/>
        </w:rPr>
        <w:t>Dornych, přičemž od této plochy budou nejdříve pro účely výpočtu odečteny plochy nájemců dle písm. (α) výše;</w:t>
      </w:r>
    </w:p>
    <w:p w14:paraId="321395A2" w14:textId="77777777" w:rsidR="006611A2" w:rsidRPr="00BD63B0" w:rsidRDefault="006611A2" w:rsidP="006611A2">
      <w:pPr>
        <w:ind w:left="2123" w:hanging="705"/>
        <w:contextualSpacing/>
        <w:rPr>
          <w:rFonts w:eastAsia="Batang"/>
          <w:szCs w:val="19"/>
        </w:rPr>
      </w:pPr>
    </w:p>
    <w:p w14:paraId="3460367D" w14:textId="77777777" w:rsidR="006611A2" w:rsidRPr="00BD63B0" w:rsidRDefault="006611A2" w:rsidP="006611A2">
      <w:pPr>
        <w:numPr>
          <w:ilvl w:val="0"/>
          <w:numId w:val="3"/>
        </w:numPr>
        <w:ind w:left="1418" w:hanging="709"/>
        <w:contextualSpacing/>
        <w:rPr>
          <w:rFonts w:eastAsia="Batang"/>
          <w:szCs w:val="19"/>
        </w:rPr>
      </w:pPr>
      <w:r w:rsidRPr="00BD63B0">
        <w:rPr>
          <w:rFonts w:eastAsia="Batang"/>
          <w:szCs w:val="19"/>
        </w:rPr>
        <w:t xml:space="preserve">pokud Pronajímatelem určená část </w:t>
      </w:r>
      <w:r w:rsidR="00A72E67">
        <w:rPr>
          <w:rFonts w:eastAsia="Batang"/>
          <w:szCs w:val="19"/>
        </w:rPr>
        <w:t>Kanceláří</w:t>
      </w:r>
      <w:r w:rsidR="00A72E67" w:rsidRPr="00BD63B0">
        <w:rPr>
          <w:rFonts w:eastAsia="Batang"/>
          <w:szCs w:val="19"/>
        </w:rPr>
        <w:t xml:space="preserve"> </w:t>
      </w:r>
      <w:r w:rsidRPr="00BD63B0">
        <w:rPr>
          <w:rFonts w:eastAsia="Batang"/>
          <w:szCs w:val="19"/>
        </w:rPr>
        <w:t xml:space="preserve">Dornych je tvořena prostory </w:t>
      </w:r>
      <w:r w:rsidRPr="00BD63B0">
        <w:rPr>
          <w:rFonts w:eastAsia="Batang"/>
          <w:bCs/>
          <w:szCs w:val="19"/>
        </w:rPr>
        <w:t>s měřidlem (popř. měřidly)</w:t>
      </w:r>
      <w:r w:rsidRPr="00BD63B0">
        <w:rPr>
          <w:rFonts w:eastAsia="Batang"/>
          <w:szCs w:val="19"/>
        </w:rPr>
        <w:t xml:space="preserve">, které si najímá jeden nájemce, ponese tento nájemce náklad na teplo v těchto prostorách </w:t>
      </w:r>
      <w:r w:rsidRPr="00BD63B0">
        <w:rPr>
          <w:rFonts w:eastAsia="Batang"/>
          <w:bCs/>
          <w:szCs w:val="19"/>
        </w:rPr>
        <w:t>dle</w:t>
      </w:r>
      <w:r w:rsidRPr="00BD63B0">
        <w:rPr>
          <w:rFonts w:eastAsia="Batang"/>
          <w:szCs w:val="19"/>
        </w:rPr>
        <w:t xml:space="preserve"> spotřeby </w:t>
      </w:r>
      <w:r w:rsidRPr="00BD63B0">
        <w:rPr>
          <w:rFonts w:eastAsia="Batang"/>
          <w:bCs/>
          <w:szCs w:val="19"/>
        </w:rPr>
        <w:t>naměřené</w:t>
      </w:r>
      <w:r w:rsidRPr="00BD63B0">
        <w:rPr>
          <w:rFonts w:eastAsia="Batang"/>
          <w:szCs w:val="19"/>
        </w:rPr>
        <w:t xml:space="preserve"> takovým měřidlem (popř. takovými měřidly);</w:t>
      </w:r>
    </w:p>
    <w:p w14:paraId="6A17384E" w14:textId="77777777" w:rsidR="006611A2" w:rsidRPr="00BD63B0" w:rsidRDefault="006611A2" w:rsidP="006611A2">
      <w:pPr>
        <w:ind w:left="1418"/>
        <w:contextualSpacing/>
        <w:rPr>
          <w:rFonts w:eastAsia="Batang"/>
          <w:szCs w:val="19"/>
        </w:rPr>
      </w:pPr>
    </w:p>
    <w:p w14:paraId="17D7F732" w14:textId="77777777" w:rsidR="006611A2" w:rsidRPr="00BD63B0" w:rsidRDefault="006611A2" w:rsidP="006611A2">
      <w:pPr>
        <w:numPr>
          <w:ilvl w:val="0"/>
          <w:numId w:val="3"/>
        </w:numPr>
        <w:ind w:left="1418" w:hanging="709"/>
        <w:contextualSpacing/>
        <w:rPr>
          <w:rFonts w:eastAsia="Batang"/>
          <w:szCs w:val="19"/>
        </w:rPr>
      </w:pPr>
      <w:r w:rsidRPr="00BD63B0">
        <w:rPr>
          <w:rFonts w:eastAsia="Batang"/>
          <w:szCs w:val="19"/>
        </w:rPr>
        <w:t>pokud si nájemce najímá více prostor s odlišným měřením nebo výpočtem nákladů na teplo podle písm. (a) až (c), resp. (α) a (β) výše, nebo jeho prostory jsou tvořeny z částí prostor s odlišným měřením nebo výpočtem nákladů na teplo podle písm. (a) až (c), resp. (α) a (β) výše, tak celková částka, kterou se nájemce podílí na nákladech na teplo za příslušné období v rámci Médií, bude určena jako součet částek vypočtených dle shora uvedených pravidel pro jednotlivé prostory nájemce (popř. jejich části) dle kategorií písm. (a) až (c), resp. (α) a (β) za příslušné období</w:t>
      </w:r>
      <w:r w:rsidRPr="00BD63B0">
        <w:rPr>
          <w:rFonts w:eastAsia="Batang"/>
          <w:i/>
          <w:iCs/>
          <w:szCs w:val="19"/>
        </w:rPr>
        <w:t>.</w:t>
      </w:r>
    </w:p>
    <w:p w14:paraId="5332F5B5" w14:textId="77777777" w:rsidR="006611A2" w:rsidRPr="00BD63B0" w:rsidRDefault="006611A2" w:rsidP="006611A2">
      <w:pPr>
        <w:tabs>
          <w:tab w:val="left" w:pos="0"/>
          <w:tab w:val="left" w:pos="709"/>
        </w:tabs>
        <w:ind w:left="709"/>
        <w:rPr>
          <w:rFonts w:cs="Arial"/>
          <w:szCs w:val="19"/>
        </w:rPr>
      </w:pPr>
    </w:p>
    <w:p w14:paraId="6508F199" w14:textId="77777777" w:rsidR="006611A2" w:rsidRPr="00BD63B0" w:rsidRDefault="006611A2" w:rsidP="006611A2">
      <w:pPr>
        <w:numPr>
          <w:ilvl w:val="0"/>
          <w:numId w:val="1"/>
        </w:numPr>
        <w:tabs>
          <w:tab w:val="left" w:pos="0"/>
          <w:tab w:val="left" w:pos="709"/>
        </w:tabs>
        <w:ind w:left="709" w:hanging="709"/>
        <w:rPr>
          <w:rFonts w:cs="Arial"/>
          <w:szCs w:val="19"/>
        </w:rPr>
      </w:pPr>
      <w:r w:rsidRPr="00BD63B0">
        <w:rPr>
          <w:rFonts w:cs="Arial"/>
          <w:szCs w:val="19"/>
        </w:rPr>
        <w:t>telekomunikační služby – pro prostory poskytnuty samostatně;</w:t>
      </w:r>
    </w:p>
    <w:p w14:paraId="23297A69" w14:textId="77777777" w:rsidR="006611A2" w:rsidRPr="00BD63B0" w:rsidRDefault="006611A2" w:rsidP="006611A2">
      <w:pPr>
        <w:tabs>
          <w:tab w:val="left" w:pos="0"/>
          <w:tab w:val="left" w:pos="851"/>
        </w:tabs>
        <w:rPr>
          <w:rFonts w:cs="Arial"/>
          <w:szCs w:val="19"/>
        </w:rPr>
      </w:pPr>
    </w:p>
    <w:p w14:paraId="0949E357" w14:textId="77777777" w:rsidR="006611A2" w:rsidRPr="00BD63B0" w:rsidRDefault="006611A2" w:rsidP="006611A2">
      <w:pPr>
        <w:rPr>
          <w:szCs w:val="19"/>
        </w:rPr>
      </w:pPr>
      <w:r w:rsidRPr="00BD63B0">
        <w:rPr>
          <w:rFonts w:cs="Arial"/>
          <w:szCs w:val="19"/>
        </w:rPr>
        <w:t>a jakékoliv takové služby stanovené v bodech (a) až (z) v části Služba výše, které ponese přímo konkrétní nájemce v důsledku smluvní dohody nebo způsobení škody; pro části médií, které nebudou hrazeny nájemci v rámci Médií, se uplatní písm. (a) v části Služba výše.</w:t>
      </w:r>
    </w:p>
    <w:p w14:paraId="72A3483C" w14:textId="77777777" w:rsidR="00741E2D" w:rsidRDefault="00741E2D"/>
    <w:sectPr w:rsidR="00741E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9CA80D" w14:textId="77777777" w:rsidR="004A72AE" w:rsidRDefault="004A72AE">
      <w:r>
        <w:separator/>
      </w:r>
    </w:p>
  </w:endnote>
  <w:endnote w:type="continuationSeparator" w:id="0">
    <w:p w14:paraId="00A97DC2" w14:textId="77777777" w:rsidR="004A72AE" w:rsidRDefault="004A7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C50EDE" w14:textId="77777777" w:rsidR="00741E2D" w:rsidRDefault="00741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B7671" w14:textId="77777777" w:rsidR="00741E2D" w:rsidRDefault="00741E2D">
    <w:pPr>
      <w:pStyle w:val="Zpat"/>
      <w:rPr>
        <w:rFonts w:ascii="Arial" w:hAnsi="Arial"/>
        <w:sz w:val="14"/>
      </w:rPr>
    </w:pPr>
  </w:p>
  <w:p w14:paraId="717BB63F" w14:textId="77777777" w:rsidR="00741E2D" w:rsidRDefault="00741E2D">
    <w:pPr>
      <w:pStyle w:val="Zpat"/>
      <w:rPr>
        <w:rFonts w:ascii="Arial" w:hAnsi="Arial"/>
        <w:sz w:val="1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02B5F" w14:textId="77777777" w:rsidR="00741E2D" w:rsidRDefault="00741E2D">
    <w:pPr>
      <w:pStyle w:val="Zpat"/>
      <w:rPr>
        <w:rFonts w:ascii="Times New Roman" w:hAnsi="Times New Roman"/>
      </w:rPr>
    </w:pPr>
  </w:p>
  <w:p w14:paraId="0B8CD59C" w14:textId="77777777" w:rsidR="00741E2D" w:rsidRPr="005C6B1F" w:rsidRDefault="006611A2" w:rsidP="00741E2D">
    <w:pPr>
      <w:pStyle w:val="Zpat"/>
      <w:rPr>
        <w:rFonts w:cs="Tahoma"/>
        <w:sz w:val="14"/>
        <w:szCs w:val="14"/>
      </w:rPr>
    </w:pPr>
    <w:r w:rsidRPr="00267EB3">
      <w:rPr>
        <w:rFonts w:cs="Tahoma"/>
        <w:i/>
        <w:sz w:val="14"/>
        <w:szCs w:val="14"/>
      </w:rPr>
      <w:t>Kone</w:t>
    </w:r>
    <w:r w:rsidRPr="00267EB3">
      <w:rPr>
        <w:rFonts w:cs="Tahoma" w:hint="eastAsia"/>
        <w:i/>
        <w:sz w:val="14"/>
        <w:szCs w:val="14"/>
      </w:rPr>
      <w:t>č</w:t>
    </w:r>
    <w:r w:rsidRPr="00267EB3">
      <w:rPr>
        <w:rFonts w:cs="Tahoma"/>
        <w:i/>
        <w:sz w:val="14"/>
        <w:szCs w:val="14"/>
      </w:rPr>
      <w:t>n</w:t>
    </w:r>
    <w:r w:rsidRPr="00267EB3">
      <w:rPr>
        <w:rFonts w:cs="Tahoma" w:hint="eastAsia"/>
        <w:i/>
        <w:sz w:val="14"/>
        <w:szCs w:val="14"/>
      </w:rPr>
      <w:t>á</w:t>
    </w:r>
    <w:r w:rsidRPr="00267EB3">
      <w:rPr>
        <w:rFonts w:cs="Tahoma"/>
        <w:i/>
        <w:sz w:val="14"/>
        <w:szCs w:val="14"/>
      </w:rPr>
      <w:t xml:space="preserve"> &amp; Zacha, Verze </w:t>
    </w:r>
    <w:r w:rsidRPr="00267EB3">
      <w:rPr>
        <w:rFonts w:cs="Tahoma" w:hint="eastAsia"/>
        <w:i/>
        <w:sz w:val="14"/>
        <w:szCs w:val="14"/>
      </w:rPr>
      <w:t>č</w:t>
    </w:r>
    <w:r w:rsidRPr="00267EB3">
      <w:rPr>
        <w:rFonts w:cs="Tahoma"/>
        <w:i/>
        <w:sz w:val="14"/>
        <w:szCs w:val="14"/>
      </w:rPr>
      <w:t>. [</w:t>
    </w:r>
    <w:r w:rsidRPr="00267EB3">
      <w:rPr>
        <w:rFonts w:cs="Tahoma"/>
        <w:i/>
        <w:sz w:val="14"/>
        <w:szCs w:val="14"/>
        <w:highlight w:val="yellow"/>
      </w:rPr>
      <w:t>●</w:t>
    </w:r>
    <w:r w:rsidRPr="00267EB3">
      <w:rPr>
        <w:rFonts w:cs="Tahoma"/>
        <w:i/>
        <w:sz w:val="14"/>
        <w:szCs w:val="14"/>
      </w:rPr>
      <w:t>], [</w:t>
    </w:r>
    <w:r w:rsidRPr="00267EB3">
      <w:rPr>
        <w:rFonts w:cs="Tahoma"/>
        <w:i/>
        <w:sz w:val="14"/>
        <w:szCs w:val="14"/>
        <w:highlight w:val="yellow"/>
      </w:rPr>
      <w:t>●</w:t>
    </w:r>
    <w:r w:rsidRPr="00267EB3">
      <w:rPr>
        <w:rFonts w:cs="Tahoma"/>
        <w:i/>
        <w:sz w:val="14"/>
        <w:szCs w:val="14"/>
      </w:rPr>
      <w:t>]. [</w:t>
    </w:r>
    <w:r w:rsidRPr="00267EB3">
      <w:rPr>
        <w:rFonts w:cs="Tahoma"/>
        <w:i/>
        <w:sz w:val="14"/>
        <w:szCs w:val="14"/>
        <w:highlight w:val="yellow"/>
      </w:rPr>
      <w:t>●</w:t>
    </w:r>
    <w:r w:rsidRPr="00267EB3">
      <w:rPr>
        <w:rFonts w:cs="Tahoma"/>
        <w:i/>
        <w:sz w:val="14"/>
        <w:szCs w:val="14"/>
      </w:rPr>
      <w:t>]. 202</w:t>
    </w:r>
    <w:r>
      <w:rPr>
        <w:rFonts w:cs="Tahoma"/>
        <w:i/>
        <w:sz w:val="14"/>
        <w:szCs w:val="14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F0635F" w14:textId="77777777" w:rsidR="004A72AE" w:rsidRDefault="004A72AE">
      <w:r>
        <w:separator/>
      </w:r>
    </w:p>
  </w:footnote>
  <w:footnote w:type="continuationSeparator" w:id="0">
    <w:p w14:paraId="2879F6D1" w14:textId="77777777" w:rsidR="004A72AE" w:rsidRDefault="004A7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918453" w14:textId="77777777" w:rsidR="00741E2D" w:rsidRDefault="00741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C2C66F" w14:textId="77777777" w:rsidR="00741E2D" w:rsidRPr="00302B1D" w:rsidRDefault="006611A2" w:rsidP="00741E2D">
    <w:pPr>
      <w:pStyle w:val="Zhlav"/>
      <w:framePr w:wrap="auto" w:vAnchor="text" w:hAnchor="margin" w:xAlign="center" w:y="1"/>
      <w:jc w:val="center"/>
      <w:rPr>
        <w:rFonts w:cs="Tahoma"/>
        <w:sz w:val="18"/>
        <w:szCs w:val="18"/>
        <w:lang w:val="en-GB"/>
      </w:rPr>
    </w:pPr>
    <w:r w:rsidRPr="00302B1D">
      <w:rPr>
        <w:rStyle w:val="slostrnky"/>
        <w:rFonts w:cs="Tahoma"/>
        <w:sz w:val="18"/>
        <w:szCs w:val="18"/>
      </w:rPr>
      <w:fldChar w:fldCharType="begin"/>
    </w:r>
    <w:r w:rsidRPr="00302B1D">
      <w:rPr>
        <w:rStyle w:val="slostrnky"/>
        <w:rFonts w:cs="Tahoma"/>
        <w:sz w:val="18"/>
        <w:szCs w:val="18"/>
      </w:rPr>
      <w:instrText xml:space="preserve">PAGE  </w:instrText>
    </w:r>
    <w:r w:rsidRPr="00302B1D">
      <w:rPr>
        <w:rStyle w:val="slostrnky"/>
        <w:rFonts w:cs="Tahoma"/>
        <w:sz w:val="18"/>
        <w:szCs w:val="18"/>
      </w:rPr>
      <w:fldChar w:fldCharType="separate"/>
    </w:r>
    <w:r w:rsidR="00FD13B8">
      <w:rPr>
        <w:rStyle w:val="slostrnky"/>
        <w:rFonts w:cs="Tahoma"/>
        <w:noProof/>
        <w:sz w:val="18"/>
        <w:szCs w:val="18"/>
      </w:rPr>
      <w:t>4</w:t>
    </w:r>
    <w:r w:rsidRPr="00302B1D">
      <w:rPr>
        <w:rStyle w:val="slostrnky"/>
        <w:rFonts w:cs="Tahoma"/>
        <w:sz w:val="18"/>
        <w:szCs w:val="18"/>
      </w:rPr>
      <w:fldChar w:fldCharType="end"/>
    </w:r>
  </w:p>
  <w:p w14:paraId="68437999" w14:textId="77777777" w:rsidR="00741E2D" w:rsidRPr="00752098" w:rsidRDefault="00741E2D" w:rsidP="00741E2D">
    <w:pPr>
      <w:pStyle w:val="Zhlav"/>
      <w:framePr w:wrap="auto" w:vAnchor="text" w:hAnchor="margin" w:xAlign="center" w:y="1"/>
      <w:jc w:val="center"/>
      <w:rPr>
        <w:rFonts w:ascii="Tahoma" w:hAnsi="Tahoma"/>
        <w:lang w:val="en-GB"/>
      </w:rPr>
    </w:pPr>
  </w:p>
  <w:p w14:paraId="7F9CC449" w14:textId="77777777" w:rsidR="00741E2D" w:rsidRDefault="00741E2D" w:rsidP="00741E2D">
    <w:pPr>
      <w:pStyle w:val="Zhlav"/>
      <w:framePr w:wrap="auto" w:vAnchor="text" w:hAnchor="margin" w:xAlign="center" w:y="1"/>
      <w:jc w:val="center"/>
      <w:rPr>
        <w:rFonts w:ascii="Tahoma" w:hAnsi="Tahoma" w:cs="Tahoma"/>
        <w:lang w:val="en-GB"/>
      </w:rPr>
    </w:pPr>
  </w:p>
  <w:p w14:paraId="3C231F54" w14:textId="77777777" w:rsidR="00741E2D" w:rsidRDefault="00741E2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FB58E" w14:textId="77777777" w:rsidR="00741E2D" w:rsidRDefault="00741E2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4D7B"/>
    <w:multiLevelType w:val="hybridMultilevel"/>
    <w:tmpl w:val="9A02B04A"/>
    <w:lvl w:ilvl="0" w:tplc="FA8C760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</w:lvl>
    <w:lvl w:ilvl="1" w:tplc="100027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FE3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A861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CEC7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8667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F2D5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00E8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34A9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075564"/>
    <w:multiLevelType w:val="hybridMultilevel"/>
    <w:tmpl w:val="32543F00"/>
    <w:lvl w:ilvl="0" w:tplc="1C3A201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</w:lvl>
    <w:lvl w:ilvl="1" w:tplc="824C37B6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</w:lvl>
    <w:lvl w:ilvl="2" w:tplc="EA64B53C">
      <w:start w:val="1"/>
      <w:numFmt w:val="lowerLetter"/>
      <w:lvlText w:val="(%3)"/>
      <w:lvlJc w:val="left"/>
      <w:pPr>
        <w:tabs>
          <w:tab w:val="num" w:pos="2160"/>
        </w:tabs>
        <w:ind w:left="2160" w:hanging="180"/>
      </w:pPr>
    </w:lvl>
    <w:lvl w:ilvl="3" w:tplc="54BC18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3E32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50D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E41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74D9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E4277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2A7FCD"/>
    <w:multiLevelType w:val="hybridMultilevel"/>
    <w:tmpl w:val="63DA13E0"/>
    <w:lvl w:ilvl="0" w:tplc="E098AD6E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01941AE"/>
    <w:multiLevelType w:val="hybridMultilevel"/>
    <w:tmpl w:val="8980910A"/>
    <w:lvl w:ilvl="0" w:tplc="C87A9B1C">
      <w:start w:val="1"/>
      <w:numFmt w:val="lowerLetter"/>
      <w:lvlText w:val="(%1)"/>
      <w:lvlJc w:val="left"/>
      <w:pPr>
        <w:ind w:left="1080" w:hanging="72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A2"/>
    <w:rsid w:val="00090ABC"/>
    <w:rsid w:val="00097CB8"/>
    <w:rsid w:val="000E5693"/>
    <w:rsid w:val="001210BB"/>
    <w:rsid w:val="001259FC"/>
    <w:rsid w:val="001C2AA6"/>
    <w:rsid w:val="001C4F1B"/>
    <w:rsid w:val="00206285"/>
    <w:rsid w:val="0031286B"/>
    <w:rsid w:val="003A41D2"/>
    <w:rsid w:val="003D21E7"/>
    <w:rsid w:val="00423EC9"/>
    <w:rsid w:val="004372F4"/>
    <w:rsid w:val="00484586"/>
    <w:rsid w:val="004A68DD"/>
    <w:rsid w:val="004A72AE"/>
    <w:rsid w:val="004C24C8"/>
    <w:rsid w:val="004E5745"/>
    <w:rsid w:val="005E3911"/>
    <w:rsid w:val="006611A2"/>
    <w:rsid w:val="006C28C1"/>
    <w:rsid w:val="00741E2D"/>
    <w:rsid w:val="007D3F7D"/>
    <w:rsid w:val="00832FF7"/>
    <w:rsid w:val="00886575"/>
    <w:rsid w:val="0094015B"/>
    <w:rsid w:val="00A07DCC"/>
    <w:rsid w:val="00A72E67"/>
    <w:rsid w:val="00A857E4"/>
    <w:rsid w:val="00AF09A8"/>
    <w:rsid w:val="00B378AA"/>
    <w:rsid w:val="00C428C2"/>
    <w:rsid w:val="00CE3D55"/>
    <w:rsid w:val="00E525F8"/>
    <w:rsid w:val="00FB67F4"/>
    <w:rsid w:val="00FD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BE7A1"/>
  <w15:chartTrackingRefBased/>
  <w15:docId w15:val="{A435076A-B28E-4BD4-84C6-1E446EF66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11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Times New Roman"/>
      <w:sz w:val="19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611A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11A2"/>
    <w:rPr>
      <w:rFonts w:ascii="Verdana" w:eastAsia="Times New Roman" w:hAnsi="Verdana" w:cs="Times New Roman"/>
      <w:sz w:val="19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6611A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11A2"/>
    <w:rPr>
      <w:rFonts w:ascii="Verdana" w:eastAsia="Times New Roman" w:hAnsi="Verdana" w:cs="Times New Roman"/>
      <w:sz w:val="19"/>
      <w:szCs w:val="20"/>
      <w:lang w:eastAsia="cs-CZ"/>
    </w:rPr>
  </w:style>
  <w:style w:type="character" w:styleId="slostrnky">
    <w:name w:val="page number"/>
    <w:basedOn w:val="Standardnpsmoodstavce"/>
    <w:uiPriority w:val="99"/>
    <w:rsid w:val="006611A2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6611A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E57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574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5745"/>
    <w:rPr>
      <w:rFonts w:ascii="Verdana" w:eastAsia="Times New Roman" w:hAnsi="Verdan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57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E5745"/>
    <w:rPr>
      <w:rFonts w:ascii="Verdana" w:eastAsia="Times New Roman" w:hAnsi="Verdana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574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574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870A589BAF604EBE74388BF202338F" ma:contentTypeVersion="20" ma:contentTypeDescription="Vytvoří nový dokument" ma:contentTypeScope="" ma:versionID="70b06e649d122efcde64a37c53ce974d">
  <xsd:schema xmlns:xsd="http://www.w3.org/2001/XMLSchema" xmlns:xs="http://www.w3.org/2001/XMLSchema" xmlns:p="http://schemas.microsoft.com/office/2006/metadata/properties" xmlns:ns2="408b0431-2819-4d36-8b47-1ffa7618a449" xmlns:ns3="eeff0618-6b1b-4b49-b0a9-63004e7168eb" targetNamespace="http://schemas.microsoft.com/office/2006/metadata/properties" ma:root="true" ma:fieldsID="2393eedcdb5b6555ac4d2c201c6d17e4" ns2:_="" ns3:_="">
    <xsd:import namespace="408b0431-2819-4d36-8b47-1ffa7618a449"/>
    <xsd:import namespace="eeff0618-6b1b-4b49-b0a9-63004e7168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b0431-2819-4d36-8b47-1ffa7618a4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Stav odsouhlasení" ma:internalName="Stav_x0020_odsouhlasen_x00ed_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dce66e89-d446-416e-b133-0a50ebd52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f0618-6b1b-4b49-b0a9-63004e7168e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5040831-26ab-4f22-b96c-1aba519ffcd3}" ma:internalName="TaxCatchAll" ma:showField="CatchAllData" ma:web="eeff0618-6b1b-4b49-b0a9-63004e7168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eff0618-6b1b-4b49-b0a9-63004e7168eb" xsi:nil="true"/>
    <_Flow_SignoffStatus xmlns="408b0431-2819-4d36-8b47-1ffa7618a449" xsi:nil="true"/>
    <lcf76f155ced4ddcb4097134ff3c332f xmlns="408b0431-2819-4d36-8b47-1ffa7618a44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0C3D91-4257-4E7F-9342-D8706F4455C1}"/>
</file>

<file path=customXml/itemProps2.xml><?xml version="1.0" encoding="utf-8"?>
<ds:datastoreItem xmlns:ds="http://schemas.openxmlformats.org/officeDocument/2006/customXml" ds:itemID="{2937F75F-8A8D-440A-B29C-B3040E77732E}"/>
</file>

<file path=customXml/itemProps3.xml><?xml version="1.0" encoding="utf-8"?>
<ds:datastoreItem xmlns:ds="http://schemas.openxmlformats.org/officeDocument/2006/customXml" ds:itemID="{056D0F9F-CAA0-4AF3-8CC6-EA1B735385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4126</TotalTime>
  <Pages>4</Pages>
  <Words>1868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Kuková</dc:creator>
  <cp:keywords/>
  <dc:description/>
  <cp:lastModifiedBy>Nora Kuková</cp:lastModifiedBy>
  <cp:revision>8</cp:revision>
  <cp:lastPrinted>2023-05-02T17:21:00Z</cp:lastPrinted>
  <dcterms:created xsi:type="dcterms:W3CDTF">2023-01-20T10:39:00Z</dcterms:created>
  <dcterms:modified xsi:type="dcterms:W3CDTF">2023-06-06T08:55:00Z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0x0101006D870A589BAF604EBE74388BF202338F</vt:lpwstr>
  </property>
  <property fmtid="{D5CDD505-2E9C-101B-9397-08002B2CF9AE}" pid="3" name="MediaServiceImageTags">
    <vt:lpwstr/>
  </property>
</Properties>
</file>